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6E850">
      <w:pPr>
        <w:spacing w:line="580" w:lineRule="exact"/>
        <w:jc w:val="center"/>
        <w:rPr>
          <w:rFonts w:hint="eastAsia" w:eastAsia="黑体"/>
          <w:color w:val="auto"/>
          <w:w w:val="95"/>
          <w:sz w:val="44"/>
          <w:szCs w:val="44"/>
        </w:rPr>
      </w:pPr>
      <w:bookmarkStart w:id="14" w:name="_GoBack"/>
      <w:bookmarkEnd w:id="14"/>
    </w:p>
    <w:p w14:paraId="5313BD37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6338BABB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18B058F8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494178B3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331CD807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0EB95BEA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eastAsia="zh-CN"/>
        </w:rPr>
        <w:t>天津市滨海新区统计局本级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年</w:t>
      </w:r>
    </w:p>
    <w:p w14:paraId="65C290E6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部门预算</w:t>
      </w:r>
    </w:p>
    <w:p w14:paraId="3B850103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w w:val="95"/>
          <w:sz w:val="48"/>
          <w:szCs w:val="48"/>
        </w:rPr>
      </w:pPr>
    </w:p>
    <w:p w14:paraId="6EFD3AF1">
      <w:pPr>
        <w:spacing w:line="580" w:lineRule="exact"/>
        <w:jc w:val="center"/>
        <w:rPr>
          <w:rFonts w:hint="eastAsia" w:ascii="楷体_GB2312" w:eastAsia="楷体_GB2312"/>
          <w:color w:val="auto"/>
          <w:sz w:val="36"/>
          <w:szCs w:val="36"/>
        </w:rPr>
      </w:pPr>
    </w:p>
    <w:p w14:paraId="3F8EB7F3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61A4BCC8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7A0AEA92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0E0164C9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756A8C5D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39D02A45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1CF6F8FF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0B6C141D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36550C88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4AF5A929">
      <w:pPr>
        <w:spacing w:line="58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42C128ED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7DA05898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3C7A7AB9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59E28B0F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</w:rPr>
        <w:t>目   录</w:t>
      </w:r>
    </w:p>
    <w:p w14:paraId="24BB1D4A">
      <w:pPr>
        <w:spacing w:line="600" w:lineRule="exact"/>
        <w:rPr>
          <w:rFonts w:hint="eastAsia" w:ascii="黑体" w:eastAsia="黑体"/>
          <w:color w:val="auto"/>
          <w:sz w:val="30"/>
          <w:szCs w:val="30"/>
        </w:rPr>
      </w:pPr>
    </w:p>
    <w:p w14:paraId="750A68D2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第一部分  概 况</w:t>
      </w:r>
    </w:p>
    <w:p w14:paraId="3D7F6947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一、主要职责</w:t>
      </w:r>
    </w:p>
    <w:p w14:paraId="2113E9BB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二、机构设置情况</w:t>
      </w:r>
    </w:p>
    <w:p w14:paraId="5C6B1006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第二部分  202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年部门预算情况说明</w:t>
      </w:r>
    </w:p>
    <w:p w14:paraId="7BC86476">
      <w:pPr>
        <w:spacing w:line="600" w:lineRule="exact"/>
        <w:ind w:firstLine="594" w:firstLineChars="198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一、关于收支总表的说明</w:t>
      </w:r>
    </w:p>
    <w:p w14:paraId="7833C855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二、关于收入总表的说明</w:t>
      </w:r>
    </w:p>
    <w:p w14:paraId="463C5AFE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三、关于支出总表的说明</w:t>
      </w:r>
    </w:p>
    <w:p w14:paraId="3EACB1AB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四、关于财政拨款收支总表的说明</w:t>
      </w:r>
    </w:p>
    <w:p w14:paraId="3F4F1643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五、关于一般公共预算支出表的说明</w:t>
      </w:r>
    </w:p>
    <w:p w14:paraId="48819E77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六、关于一般公共预算基本支出表的说明</w:t>
      </w:r>
    </w:p>
    <w:p w14:paraId="4CBE0F11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七、</w:t>
      </w:r>
      <w:r>
        <w:rPr>
          <w:rFonts w:hint="eastAsia" w:ascii="仿宋_GB2312" w:hAnsi="Times New Roman" w:eastAsia="仿宋_GB2312"/>
          <w:color w:val="auto"/>
          <w:spacing w:val="-20"/>
          <w:sz w:val="30"/>
          <w:szCs w:val="30"/>
        </w:rPr>
        <w:t>关于一般公共预算“三公”经费支出表的说明</w:t>
      </w:r>
    </w:p>
    <w:p w14:paraId="22468092">
      <w:pPr>
        <w:spacing w:line="600" w:lineRule="exact"/>
        <w:ind w:left="1200" w:leftChars="250" w:hanging="600" w:hangingChars="200"/>
        <w:rPr>
          <w:rFonts w:hint="eastAsia" w:ascii="仿宋_GB2312" w:hAnsi="Times New Roman" w:eastAsia="仿宋_GB2312"/>
          <w:color w:val="auto"/>
          <w:spacing w:val="-20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八、关于政府性基金预算支出表的说明</w:t>
      </w:r>
    </w:p>
    <w:p w14:paraId="330CC58F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九、关于国有资本经营预算支出表的说明</w:t>
      </w:r>
    </w:p>
    <w:p w14:paraId="2AA9C7E8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十、其他重要事项的情况说明</w:t>
      </w:r>
    </w:p>
    <w:p w14:paraId="5751BE3A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第三部分  名词解释</w:t>
      </w:r>
    </w:p>
    <w:p w14:paraId="07192220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第四部分  202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年部门预算表</w:t>
      </w:r>
    </w:p>
    <w:p w14:paraId="231602C1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一、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年收支总表</w:t>
      </w:r>
    </w:p>
    <w:p w14:paraId="6CE3CF7F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二、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年收入总表</w:t>
      </w:r>
    </w:p>
    <w:p w14:paraId="5CB96A4F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三、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年支出总表</w:t>
      </w:r>
    </w:p>
    <w:p w14:paraId="4ED97A0A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四、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年财政拨款收支总表</w:t>
      </w:r>
    </w:p>
    <w:p w14:paraId="70473CA5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五、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年一般公共预算支出表</w:t>
      </w:r>
    </w:p>
    <w:p w14:paraId="165BA98A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六、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年一般公共预算基本支出表</w:t>
      </w:r>
    </w:p>
    <w:p w14:paraId="372D1499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七、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年一般公共预算“三公”经费支出表</w:t>
      </w:r>
    </w:p>
    <w:p w14:paraId="3D940748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八、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年政府性基金预算支出表</w:t>
      </w:r>
    </w:p>
    <w:p w14:paraId="7A85836E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九、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年国有资本经营预算支出表</w:t>
      </w:r>
    </w:p>
    <w:p w14:paraId="4279462A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年项目支出表</w:t>
      </w:r>
    </w:p>
    <w:p w14:paraId="52321719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十一、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年政府采购预算表</w:t>
      </w:r>
    </w:p>
    <w:p w14:paraId="3C7C7F69"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十二、关于空表的说明</w:t>
      </w:r>
    </w:p>
    <w:p w14:paraId="142C043F">
      <w:pPr>
        <w:pStyle w:val="8"/>
        <w:tabs>
          <w:tab w:val="right" w:leader="dot" w:pos="8296"/>
        </w:tabs>
        <w:spacing w:line="600" w:lineRule="exact"/>
        <w:ind w:left="0"/>
        <w:rPr>
          <w:rFonts w:ascii="黑体" w:eastAsia="黑体"/>
          <w:color w:val="auto"/>
          <w:sz w:val="30"/>
          <w:szCs w:val="30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2098" w:right="1474" w:bottom="1304" w:left="1588" w:header="765" w:footer="765" w:gutter="0"/>
          <w:pgNumType w:fmt="numberInDash" w:start="1"/>
          <w:cols w:space="720" w:num="1"/>
          <w:docGrid w:linePitch="326" w:charSpace="0"/>
        </w:sectPr>
      </w:pPr>
    </w:p>
    <w:p w14:paraId="57C1940D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第一部分  概 况</w:t>
      </w:r>
      <w:bookmarkEnd w:id="0"/>
    </w:p>
    <w:p w14:paraId="7A4C7051">
      <w:pPr>
        <w:spacing w:line="600" w:lineRule="exact"/>
        <w:rPr>
          <w:rFonts w:hint="eastAsia"/>
          <w:color w:val="auto"/>
        </w:rPr>
      </w:pPr>
    </w:p>
    <w:p w14:paraId="5354096C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bookmarkStart w:id="1" w:name="_Toc78784555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一、主要职责</w:t>
      </w:r>
      <w:bookmarkEnd w:id="1"/>
    </w:p>
    <w:p w14:paraId="3F1B91B9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2" w:name="_Toc78784556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贯彻执行国家有关统计的法律、法规和方针、政策，并组织实施。拟订全区统计事业发展规划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织领导和协调全区统计工作，承担统计数据真实、准确、完整、及时的责任。负责贯彻执行国民经济核算体系，组织实施全区国民经济核算制度及投入产出调查，核算各开发区、街镇增加值，汇编提供国民经济核算资料。会同有关部门拟订本区重大国情国力普查计划、方案，组织实施全区人口、经济、农业等重大国情国力普查，汇总、整理和提供有关国情国力方面的统计数据。组织实施全区国民经济各行业的统计调查，收集、汇总、整理和提供有关调查的统计数据。综合整理和提供地质勘查、旅游、教育、卫生、社会保障、公用事业等全区性基本统计数据。组织实施能源、投资、消费、收入、科技、人口、社会发展基本情况、环境基本状况等统计调查，收集、汇总、整理和提供有关调查的统计数据。综合整理和提供资源、房屋、对外贸易、对外经济等全区性基本统计数据。统一核定、管理、公布全区性基本统计资料。定期发布全区国民经济和社会发展情况的统计信息。对国民经济、社会发展、科技进步和资源环境等情况进行统计分析、统计预测和统计监督，向区委、区政府及有关部门提供统计信息和咨询建议。指导各开发区、街道（镇）专业统计基础工作、基层统计业务基础建设，建立健全统计数据质量审核、监控和评估制度，开展对重要统计数据的审核、监控和评估工作。负责本系统的人才队伍建设、思想政治工作和干部培训工作。承担本系统安全生产管理责任。协调本系统对全区招商引资工作依法提供统计数据方面的支持保障。完成区委、区政府交办的其他任务。</w:t>
      </w:r>
    </w:p>
    <w:p w14:paraId="4A48857A">
      <w:pPr>
        <w:spacing w:line="600" w:lineRule="exact"/>
        <w:ind w:firstLine="596" w:firstLineChars="198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二、机构设置</w:t>
      </w:r>
      <w:bookmarkEnd w:id="2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情况</w:t>
      </w:r>
    </w:p>
    <w:p w14:paraId="4B549674">
      <w:pPr>
        <w:spacing w:line="600" w:lineRule="exact"/>
        <w:ind w:firstLine="600" w:firstLineChars="200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天津市滨海新区统计局本级</w:t>
      </w:r>
      <w:r>
        <w:rPr>
          <w:rFonts w:ascii="仿宋_GB2312" w:hAnsi="Times New Roman" w:eastAsia="仿宋_GB2312"/>
          <w:color w:val="auto"/>
          <w:sz w:val="30"/>
          <w:szCs w:val="30"/>
        </w:rPr>
        <w:t>内设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5 </w:t>
      </w:r>
      <w:r>
        <w:rPr>
          <w:rFonts w:ascii="仿宋_GB2312" w:hAnsi="Times New Roman" w:eastAsia="仿宋_GB2312"/>
          <w:color w:val="auto"/>
          <w:sz w:val="30"/>
          <w:szCs w:val="30"/>
        </w:rPr>
        <w:t>个职能处室；下辖</w:t>
      </w:r>
      <w:r>
        <w:rPr>
          <w:rFonts w:ascii="仿宋_GB2312" w:hAnsi="Times New Roman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color w:val="auto"/>
          <w:sz w:val="30"/>
          <w:szCs w:val="30"/>
        </w:rPr>
        <w:t>个预算单位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</w:p>
    <w:p w14:paraId="414912A8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纳入本部门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年部门预算编制范围的预算单位包括：</w:t>
      </w:r>
    </w:p>
    <w:p w14:paraId="75E66E17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1.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天津市滨海新区统计局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本级</w:t>
      </w:r>
    </w:p>
    <w:p w14:paraId="73470DD9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</w:p>
    <w:p w14:paraId="354D293B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</w:p>
    <w:p w14:paraId="668C27EF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2ADEDE5C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703EFDDD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672A6C6A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67DC71E3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6C7F920D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09489F5D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3EA32B4F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0AC02FF1">
      <w:pPr>
        <w:pStyle w:val="2"/>
        <w:keepNex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bookmarkStart w:id="3" w:name="_Toc78784570"/>
    </w:p>
    <w:p w14:paraId="12779497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二</w:t>
      </w:r>
      <w:r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 xml:space="preserve">部分  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  <w:lang w:val="en"/>
        </w:rPr>
        <w:t>2026</w:t>
      </w:r>
      <w:r>
        <w:rPr>
          <w:rFonts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</w:rPr>
        <w:t>年部门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</w:rPr>
        <w:t>预算情况</w:t>
      </w:r>
      <w:r>
        <w:rPr>
          <w:rFonts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</w:rPr>
        <w:t>说明</w:t>
      </w:r>
      <w:bookmarkEnd w:id="3"/>
    </w:p>
    <w:p w14:paraId="4EC0EDB4">
      <w:pPr>
        <w:spacing w:line="600" w:lineRule="exact"/>
        <w:ind w:firstLine="600" w:firstLineChars="200"/>
        <w:rPr>
          <w:rFonts w:hint="eastAsia" w:ascii="黑体" w:eastAsia="黑体"/>
          <w:color w:val="auto"/>
          <w:sz w:val="30"/>
          <w:szCs w:val="30"/>
        </w:rPr>
      </w:pPr>
    </w:p>
    <w:p w14:paraId="592B3B4F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bookmarkStart w:id="4" w:name="_Toc78784571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一、</w:t>
      </w:r>
      <w:bookmarkEnd w:id="4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关于收支总表的说明</w:t>
      </w:r>
    </w:p>
    <w:p w14:paraId="63F48BC8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按照综合预算的原则，本部门所有收入和支出均纳入部门预算管理。收入包括：一般公共预算拨款收入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政府性基金预算拨款收入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国有资本经营预算拨款收入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、财政专户管理资金收入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、事业收入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事业单位经营收入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上级补助收入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附属单位上缴收入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、其他收入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</w:t>
      </w:r>
      <w:r>
        <w:rPr>
          <w:rFonts w:ascii="仿宋_GB2312" w:hAnsi="Times New Roman" w:eastAsia="仿宋_GB2312"/>
          <w:color w:val="auto"/>
          <w:sz w:val="30"/>
          <w:szCs w:val="30"/>
        </w:rPr>
        <w:t>上年结转结余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；支出包括：一般公共服务支出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。本部门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年收支总预算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</w:p>
    <w:p w14:paraId="0556EF0A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bookmarkStart w:id="5" w:name="_Toc78784572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二、</w:t>
      </w:r>
      <w:bookmarkEnd w:id="5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关于收入总表的说明</w:t>
      </w:r>
    </w:p>
    <w:p w14:paraId="45C10F05">
      <w:pPr>
        <w:spacing w:line="600" w:lineRule="exact"/>
        <w:ind w:firstLine="600" w:firstLineChars="200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本部门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部门预算</w:t>
      </w:r>
      <w:r>
        <w:rPr>
          <w:rFonts w:ascii="仿宋_GB2312" w:hAnsi="Times New Roman" w:eastAsia="仿宋_GB2312"/>
          <w:color w:val="auto"/>
          <w:sz w:val="30"/>
          <w:szCs w:val="30"/>
        </w:rPr>
        <w:t>收入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/>
        </w:rPr>
        <w:t>1568.49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万元，与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202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/>
          <w:color w:val="auto"/>
          <w:sz w:val="30"/>
          <w:szCs w:val="30"/>
        </w:rPr>
        <w:t>年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预</w:t>
      </w:r>
      <w:r>
        <w:rPr>
          <w:rFonts w:ascii="仿宋_GB2312" w:hAnsi="Times New Roman" w:eastAsia="仿宋_GB2312"/>
          <w:color w:val="auto"/>
          <w:sz w:val="30"/>
          <w:szCs w:val="30"/>
        </w:rPr>
        <w:t>算相比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减少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/>
        </w:rPr>
        <w:t>16.56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、公用经费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等较上年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减少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  <w:r>
        <w:rPr>
          <w:rFonts w:ascii="仿宋_GB2312" w:hAnsi="Times New Roman" w:eastAsia="仿宋_GB2312"/>
          <w:color w:val="auto"/>
          <w:sz w:val="30"/>
          <w:szCs w:val="30"/>
        </w:rPr>
        <w:t>其中：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上年结转结余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%；一般公共预算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100</w:t>
      </w:r>
      <w:r>
        <w:rPr>
          <w:rFonts w:ascii="仿宋_GB2312" w:hAnsi="Times New Roman" w:eastAsia="仿宋_GB2312"/>
          <w:color w:val="auto"/>
          <w:sz w:val="30"/>
          <w:szCs w:val="30"/>
        </w:rPr>
        <w:t>%；政府性基金预算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%；国有资本经营预算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财政专户管理资金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%；事业收入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事业单位</w:t>
      </w:r>
      <w:r>
        <w:rPr>
          <w:rFonts w:ascii="仿宋_GB2312" w:hAnsi="Times New Roman" w:eastAsia="仿宋_GB2312"/>
          <w:color w:val="auto"/>
          <w:sz w:val="30"/>
          <w:szCs w:val="30"/>
        </w:rPr>
        <w:t>经营收入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%；上级补助收入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%；附属单位上缴收入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%；其他收入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</w:p>
    <w:p w14:paraId="1987F986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6" w:name="_Toc78784573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三、</w:t>
      </w:r>
      <w:bookmarkEnd w:id="6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关于支出总表的说明</w:t>
      </w:r>
    </w:p>
    <w:p w14:paraId="316F30EA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年支出预算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减少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16.56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、公用经费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等较上年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。其中：基本支出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1063.14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67.78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%；项目支出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505.35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32.22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%；事业单位经营支出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%；上缴上级支出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%；对附属单位补助支出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%。 </w:t>
      </w:r>
    </w:p>
    <w:p w14:paraId="67119C1B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7" w:name="_Toc78784574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四、</w:t>
      </w:r>
      <w:bookmarkEnd w:id="7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关于财政拨款收支总表的说明</w:t>
      </w:r>
    </w:p>
    <w:p w14:paraId="6BE5A761">
      <w:pPr>
        <w:spacing w:line="600" w:lineRule="exact"/>
        <w:ind w:firstLine="6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年财政拨款收入预算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减少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16.56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、公用经费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等较上年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。收入包括：一般公共预算拨款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万元、政府性基金预算拨款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万元、国有资本经营预算拨款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万元、上年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结转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年财政拨款支出预算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减少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16.56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、公用经费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等较上年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。支出包括：一般公共服务支出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658BCEEE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8" w:name="_Toc78784575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五、</w:t>
      </w:r>
      <w:bookmarkEnd w:id="8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关于一般公共预算支出表的说明</w:t>
      </w:r>
    </w:p>
    <w:p w14:paraId="2BF83A68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（一）总体情况</w:t>
      </w:r>
    </w:p>
    <w:p w14:paraId="245B2964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年一般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公共预算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支出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减少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16.56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、公用经费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等较上年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144C85D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（二）具体情况</w:t>
      </w:r>
    </w:p>
    <w:p w14:paraId="62F7221D">
      <w:pPr>
        <w:numPr>
          <w:ilvl w:val="0"/>
          <w:numId w:val="0"/>
        </w:numPr>
        <w:wordWrap w:val="0"/>
        <w:spacing w:line="58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减少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16.56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、公用经费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等较上年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，其中：</w:t>
      </w:r>
    </w:p>
    <w:p w14:paraId="7C7E7B2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统计信息事务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1568.49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万元，包括：“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行政运行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1063.14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人员支出、公用支出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一般行政管理事务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407.50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多种用工人员经费、专职统计员经费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专项统计业务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统计工作专项经费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专项普查活动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41.85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普查工作专项经费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0A249B4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9" w:name="_Toc78784576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六、</w:t>
      </w:r>
      <w:bookmarkEnd w:id="9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关于一般公共预算基本支出表的说明</w:t>
      </w:r>
    </w:p>
    <w:p w14:paraId="19451635"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本部门一般公共预算基本支出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/>
        </w:rPr>
        <w:t>1063.14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年预算相比减少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/>
        </w:rPr>
        <w:t>78.04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、公用经费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等较上年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。其中：</w:t>
      </w:r>
    </w:p>
    <w:p w14:paraId="2FAE1CDD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人员经费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971.32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工资奖金津补贴、社会保障缴费、公积金等人员经费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7AF86B87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公用经费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91.82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办公费、邮电费、工会经费等公用经费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1393ABFC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0" w:name="_Toc78784577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七、关于一般公共预算“三公”经费支出表的说明</w:t>
      </w:r>
    </w:p>
    <w:p w14:paraId="401A22D4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年一般公共预算“三公”经费安排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3.28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本年度“三公”经费支出预算与上年持平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。具体情况：</w:t>
      </w:r>
    </w:p>
    <w:p w14:paraId="0869525D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年因公出国（境）费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"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本部门一般公共预算未安排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因公出国（境）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069A1522"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（二）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年公务用车购置及运行费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万元，其中公务用车运行费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本年度公务用车运行支出预算与上年持平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；公务用车购置费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本年度一般公共预算未安排公务用车购置费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1EAE1D0A"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年公务接待费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1.28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本年度公务接待费支出预算与上年持平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75EB4B96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八、</w:t>
      </w:r>
      <w:bookmarkEnd w:id="10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关于政府性基金预算支出表的说明</w:t>
      </w:r>
    </w:p>
    <w:p w14:paraId="3BB4026A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年本部门预算中没有使用政府性基金预算安排的支出。</w:t>
      </w:r>
    </w:p>
    <w:p w14:paraId="462776E1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1" w:name="_Toc78784578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九、</w:t>
      </w:r>
      <w:bookmarkEnd w:id="11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关于国有资本经营预算支出表的说明</w:t>
      </w:r>
    </w:p>
    <w:p w14:paraId="416F5085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年本部门预算中没有使用国有资本经营预算安排的支出。</w:t>
      </w:r>
    </w:p>
    <w:p w14:paraId="1F283085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2" w:name="_Toc78784579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十、其他重要事项的情况说明</w:t>
      </w:r>
    </w:p>
    <w:p w14:paraId="41DEE797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  <w:t>（一）机关运行经费</w:t>
      </w:r>
      <w:bookmarkEnd w:id="12"/>
    </w:p>
    <w:p w14:paraId="59069765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天津市滨海新区统计局本级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家行政单位的机关运行经费预算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91.82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万元，包括办公费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邮电费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万元、差旅费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2.7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万元、维修（护）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万元、会议费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万元、培训费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0.22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万元、公务接待费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1.28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万元、劳务费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6.5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工会经费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10.93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万元、公务用车运行维护费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万元、其他交通费用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31.67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万元、其他商品和服务支出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20.32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万元、办公设备购置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万元、信息网络及软件购置更新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1.5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4DC73C40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（二）政府采购情况</w:t>
      </w:r>
    </w:p>
    <w:p w14:paraId="2D83ED64">
      <w:pPr>
        <w:kinsoku w:val="0"/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年安排政府采购预算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4.55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万元，其中：政府采购货物支出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4.55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万元、政府采购工程支出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万元、政府采购服务支出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万元。主要项目是：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2026年预算公用经费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项目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2026年统计局统计工作专项经费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1.55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4EA86CCB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（三）国有资产占用情况</w:t>
      </w:r>
    </w:p>
    <w:p w14:paraId="067052B7"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27"/>
          <w:szCs w:val="27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截至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年7月底，本部门各单位共有车辆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辆、主要负责人干部用车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辆、机要通信用车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辆、离退休干部服务用车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辆，其他用车主要包括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。单价（账面原值）100万以上的设备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台（套）。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lang w:val="zh-CN"/>
        </w:rPr>
        <w:t xml:space="preserve"> </w:t>
      </w:r>
    </w:p>
    <w:p w14:paraId="49A1F434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（四）预算绩效情况说明</w:t>
      </w:r>
    </w:p>
    <w:p w14:paraId="067F5B44">
      <w:pPr>
        <w:spacing w:line="58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年实行绩效目标管理的项目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个，涉及预算金额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/>
        </w:rPr>
        <w:t>505.35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6E5B2576">
      <w:pPr>
        <w:spacing w:line="580" w:lineRule="exact"/>
        <w:ind w:firstLine="600" w:firstLineChars="200"/>
        <w:jc w:val="both"/>
        <w:rPr>
          <w:rFonts w:hint="eastAsia" w:eastAsia="仿宋_GB2312"/>
          <w:color w:val="auto"/>
          <w:sz w:val="30"/>
          <w:szCs w:val="30"/>
        </w:rPr>
      </w:pPr>
    </w:p>
    <w:p w14:paraId="5B454A50">
      <w:pPr>
        <w:pStyle w:val="2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bookmarkStart w:id="13" w:name="_Toc78784585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第三部分  名词解释</w:t>
      </w:r>
      <w:bookmarkEnd w:id="13"/>
    </w:p>
    <w:p w14:paraId="50EC7283">
      <w:pPr>
        <w:spacing w:line="580" w:lineRule="exact"/>
        <w:ind w:firstLine="602" w:firstLineChars="200"/>
        <w:rPr>
          <w:rFonts w:hint="eastAsia" w:eastAsia="仿宋_GB2312"/>
          <w:color w:val="auto"/>
          <w:sz w:val="30"/>
          <w:szCs w:val="30"/>
        </w:rPr>
      </w:pPr>
      <w:r>
        <w:rPr>
          <w:rFonts w:eastAsia="楷体_GB2312"/>
          <w:b/>
          <w:color w:val="auto"/>
          <w:sz w:val="30"/>
          <w:szCs w:val="30"/>
        </w:rPr>
        <w:t>1.</w:t>
      </w:r>
      <w:r>
        <w:rPr>
          <w:rFonts w:hint="eastAsia" w:eastAsia="楷体_GB2312"/>
          <w:b/>
          <w:color w:val="auto"/>
          <w:sz w:val="30"/>
          <w:szCs w:val="30"/>
        </w:rPr>
        <w:t>部门预算。</w:t>
      </w:r>
      <w:r>
        <w:rPr>
          <w:rFonts w:hint="eastAsia" w:eastAsia="仿宋_GB2312"/>
          <w:color w:val="auto"/>
          <w:sz w:val="30"/>
          <w:szCs w:val="30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5517F794">
      <w:pPr>
        <w:spacing w:line="580" w:lineRule="exact"/>
        <w:ind w:firstLine="602" w:firstLineChars="200"/>
        <w:rPr>
          <w:rFonts w:hint="eastAsia" w:eastAsia="仿宋_GB2312"/>
          <w:color w:val="auto"/>
          <w:sz w:val="30"/>
          <w:szCs w:val="30"/>
        </w:rPr>
      </w:pPr>
      <w:r>
        <w:rPr>
          <w:rFonts w:hint="eastAsia" w:eastAsia="楷体_GB2312"/>
          <w:b/>
          <w:color w:val="auto"/>
          <w:sz w:val="30"/>
          <w:szCs w:val="30"/>
        </w:rPr>
        <w:t>2.</w:t>
      </w:r>
      <w:r>
        <w:rPr>
          <w:rFonts w:eastAsia="楷体_GB2312"/>
          <w:b/>
          <w:color w:val="auto"/>
          <w:sz w:val="30"/>
          <w:szCs w:val="30"/>
        </w:rPr>
        <w:t xml:space="preserve"> 机关运行经费</w:t>
      </w:r>
      <w:r>
        <w:rPr>
          <w:rFonts w:hint="eastAsia" w:eastAsia="楷体_GB2312"/>
          <w:b/>
          <w:color w:val="auto"/>
          <w:sz w:val="30"/>
          <w:szCs w:val="30"/>
        </w:rPr>
        <w:t>。</w:t>
      </w:r>
      <w:r>
        <w:rPr>
          <w:rFonts w:eastAsia="仿宋_GB2312"/>
          <w:color w:val="auto"/>
          <w:sz w:val="30"/>
          <w:szCs w:val="30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  <w:r>
        <w:rPr>
          <w:rFonts w:hint="eastAsia" w:eastAsia="仿宋_GB2312"/>
          <w:color w:val="auto"/>
          <w:sz w:val="30"/>
          <w:szCs w:val="30"/>
        </w:rPr>
        <w:t>。</w:t>
      </w:r>
    </w:p>
    <w:p w14:paraId="029BB813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148664A9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02C52E59">
      <w:pPr>
        <w:spacing w:line="580" w:lineRule="exact"/>
        <w:ind w:firstLine="600" w:firstLineChars="200"/>
        <w:rPr>
          <w:rFonts w:eastAsia="楷体_GB2312"/>
          <w:color w:val="auto"/>
          <w:sz w:val="30"/>
          <w:szCs w:val="30"/>
        </w:rPr>
      </w:pPr>
    </w:p>
    <w:p w14:paraId="33FC7FBD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</w:p>
    <w:p w14:paraId="0AAA8F22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</w:p>
    <w:p w14:paraId="3310C57E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 xml:space="preserve">第四部分  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sz w:val="48"/>
          <w:szCs w:val="48"/>
          <w:lang w:val="e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年部门预算表</w:t>
      </w:r>
    </w:p>
    <w:p w14:paraId="335977D4">
      <w:pPr>
        <w:spacing w:line="600" w:lineRule="exact"/>
        <w:ind w:firstLine="594" w:firstLineChars="198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一、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年收支总表</w:t>
      </w:r>
    </w:p>
    <w:p w14:paraId="678AB92A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二、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年收入总表</w:t>
      </w:r>
    </w:p>
    <w:p w14:paraId="1639E34B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三、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年支出总表</w:t>
      </w:r>
    </w:p>
    <w:p w14:paraId="2E8AD603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四、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年财政拨款收支总表</w:t>
      </w:r>
    </w:p>
    <w:p w14:paraId="00699FDD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五、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年一般公共预算支出表</w:t>
      </w:r>
    </w:p>
    <w:p w14:paraId="20DCDD94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六、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年一般公共预算基本支出表</w:t>
      </w:r>
    </w:p>
    <w:p w14:paraId="45894FED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七、</w:t>
      </w:r>
      <w:r>
        <w:rPr>
          <w:rFonts w:hint="default" w:eastAsia="仿宋_GB2312"/>
          <w:color w:val="auto"/>
          <w:sz w:val="30"/>
          <w:szCs w:val="30"/>
          <w:lang w:val="en"/>
        </w:rPr>
        <w:t>2026</w:t>
      </w:r>
      <w:r>
        <w:rPr>
          <w:rFonts w:hint="eastAsia" w:eastAsia="仿宋_GB2312"/>
          <w:color w:val="auto"/>
          <w:sz w:val="30"/>
          <w:szCs w:val="30"/>
        </w:rPr>
        <w:t>年一般公共预算“三公”经费支出表</w:t>
      </w:r>
    </w:p>
    <w:p w14:paraId="71FC138C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八、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年政府性基金预算支出表</w:t>
      </w:r>
    </w:p>
    <w:p w14:paraId="75F616D4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九、</w:t>
      </w:r>
      <w:r>
        <w:rPr>
          <w:rFonts w:hint="default" w:eastAsia="仿宋_GB2312"/>
          <w:color w:val="auto"/>
          <w:sz w:val="30"/>
          <w:szCs w:val="30"/>
          <w:lang w:val="en"/>
        </w:rPr>
        <w:t>2026</w:t>
      </w:r>
      <w:r>
        <w:rPr>
          <w:rFonts w:hint="eastAsia" w:eastAsia="仿宋_GB2312"/>
          <w:color w:val="auto"/>
          <w:sz w:val="30"/>
          <w:szCs w:val="30"/>
        </w:rPr>
        <w:t>年国有资本经营预算支出表</w:t>
      </w:r>
    </w:p>
    <w:p w14:paraId="26E35731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十、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年项目支出表</w:t>
      </w:r>
    </w:p>
    <w:p w14:paraId="56D3BD32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  <w:highlight w:val="none"/>
        </w:rPr>
      </w:pPr>
      <w:r>
        <w:rPr>
          <w:rFonts w:hint="eastAsia" w:eastAsia="仿宋_GB2312"/>
          <w:color w:val="auto"/>
          <w:sz w:val="30"/>
          <w:szCs w:val="30"/>
        </w:rPr>
        <w:t>十一、</w:t>
      </w:r>
      <w:r>
        <w:rPr>
          <w:rFonts w:eastAsia="仿宋_GB2312"/>
          <w:color w:val="auto"/>
          <w:sz w:val="30"/>
          <w:szCs w:val="30"/>
          <w:highlight w:val="none"/>
          <w:lang w:val="en"/>
        </w:rPr>
        <w:t>2026</w:t>
      </w:r>
      <w:r>
        <w:rPr>
          <w:rFonts w:eastAsia="仿宋_GB2312"/>
          <w:color w:val="auto"/>
          <w:sz w:val="30"/>
          <w:szCs w:val="30"/>
          <w:highlight w:val="none"/>
        </w:rPr>
        <w:t>年政府采购预算表</w:t>
      </w:r>
    </w:p>
    <w:p w14:paraId="7DEA9335">
      <w:pPr>
        <w:spacing w:line="560" w:lineRule="exact"/>
        <w:ind w:left="480" w:leftChars="200" w:firstLine="147" w:firstLineChars="49"/>
        <w:rPr>
          <w:rFonts w:hint="eastAsia"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十二、关于空表的说明</w:t>
      </w:r>
      <w:r>
        <w:rPr>
          <w:rFonts w:hint="eastAsia" w:eastAsia="仿宋_GB2312"/>
          <w:color w:val="auto"/>
          <w:sz w:val="30"/>
          <w:szCs w:val="30"/>
        </w:rPr>
        <w:tab/>
      </w:r>
    </w:p>
    <w:p w14:paraId="18BB6022">
      <w:pPr>
        <w:spacing w:line="56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1.本部门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</w:t>
      </w:r>
      <w:r>
        <w:rPr>
          <w:rFonts w:hint="eastAsia" w:eastAsia="仿宋_GB2312"/>
          <w:color w:val="auto"/>
          <w:sz w:val="30"/>
          <w:szCs w:val="30"/>
        </w:rPr>
        <w:t>政府性基金预算支出表为空表。</w:t>
      </w:r>
    </w:p>
    <w:p w14:paraId="7E2C4C42">
      <w:pPr>
        <w:spacing w:line="56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/>
          <w:color w:val="auto"/>
          <w:sz w:val="30"/>
          <w:szCs w:val="30"/>
        </w:rPr>
        <w:t>.本部门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</w:t>
      </w:r>
      <w:r>
        <w:rPr>
          <w:rFonts w:hint="eastAsia" w:eastAsia="仿宋_GB2312"/>
          <w:color w:val="auto"/>
          <w:sz w:val="30"/>
          <w:szCs w:val="30"/>
        </w:rPr>
        <w:t>国有资本经营预算支出表为空表。</w:t>
      </w:r>
    </w:p>
    <w:p w14:paraId="2FD9DCC5">
      <w:pPr>
        <w:spacing w:line="580" w:lineRule="exact"/>
        <w:ind w:firstLine="600" w:firstLineChars="200"/>
        <w:rPr>
          <w:rFonts w:eastAsia="楷体_GB2312"/>
          <w:color w:val="auto"/>
          <w:sz w:val="30"/>
          <w:szCs w:val="30"/>
        </w:rPr>
      </w:pPr>
    </w:p>
    <w:sectPr>
      <w:footerReference r:id="rId8" w:type="default"/>
      <w:pgSz w:w="11907" w:h="16840"/>
      <w:pgMar w:top="2098" w:right="1474" w:bottom="1304" w:left="1588" w:header="765" w:footer="765" w:gutter="0"/>
      <w:pgNumType w:fmt="numberInDash"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erif">
    <w:altName w:val="DejaVu Math TeX Gyre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17F99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E1EFD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537D5AD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EDC51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1 -</w:t>
    </w:r>
    <w:r>
      <w:fldChar w:fldCharType="end"/>
    </w:r>
  </w:p>
  <w:p w14:paraId="3A32FD45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17D2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77"/>
    <w:rsid w:val="0001204D"/>
    <w:rsid w:val="00012D48"/>
    <w:rsid w:val="00014B7E"/>
    <w:rsid w:val="00020DAE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38DE"/>
    <w:rsid w:val="00066DA5"/>
    <w:rsid w:val="00081133"/>
    <w:rsid w:val="00082771"/>
    <w:rsid w:val="00093F1A"/>
    <w:rsid w:val="00097C4D"/>
    <w:rsid w:val="000A4C45"/>
    <w:rsid w:val="000A6A5A"/>
    <w:rsid w:val="000A750A"/>
    <w:rsid w:val="000B1B04"/>
    <w:rsid w:val="000B5758"/>
    <w:rsid w:val="000C1D30"/>
    <w:rsid w:val="000C211F"/>
    <w:rsid w:val="000C3FFB"/>
    <w:rsid w:val="000C5349"/>
    <w:rsid w:val="000C704F"/>
    <w:rsid w:val="000D1BEF"/>
    <w:rsid w:val="000E221E"/>
    <w:rsid w:val="000E5A14"/>
    <w:rsid w:val="000F2DDD"/>
    <w:rsid w:val="00101B9A"/>
    <w:rsid w:val="00103D12"/>
    <w:rsid w:val="001044EF"/>
    <w:rsid w:val="00107793"/>
    <w:rsid w:val="00107F74"/>
    <w:rsid w:val="00141FB3"/>
    <w:rsid w:val="00143640"/>
    <w:rsid w:val="00146622"/>
    <w:rsid w:val="00151DB8"/>
    <w:rsid w:val="00151E56"/>
    <w:rsid w:val="00154D50"/>
    <w:rsid w:val="001574DB"/>
    <w:rsid w:val="00160516"/>
    <w:rsid w:val="001616F8"/>
    <w:rsid w:val="001639E6"/>
    <w:rsid w:val="0016548E"/>
    <w:rsid w:val="00167781"/>
    <w:rsid w:val="00173D03"/>
    <w:rsid w:val="0017420B"/>
    <w:rsid w:val="001743A6"/>
    <w:rsid w:val="0019552B"/>
    <w:rsid w:val="001A1316"/>
    <w:rsid w:val="001A58F7"/>
    <w:rsid w:val="001B26CD"/>
    <w:rsid w:val="001B47FB"/>
    <w:rsid w:val="001C525C"/>
    <w:rsid w:val="001E4814"/>
    <w:rsid w:val="001F43D8"/>
    <w:rsid w:val="001F69BB"/>
    <w:rsid w:val="0020344E"/>
    <w:rsid w:val="00217977"/>
    <w:rsid w:val="00222775"/>
    <w:rsid w:val="00223D56"/>
    <w:rsid w:val="00225E9E"/>
    <w:rsid w:val="002319C9"/>
    <w:rsid w:val="00235DDA"/>
    <w:rsid w:val="00243A70"/>
    <w:rsid w:val="002456BF"/>
    <w:rsid w:val="00247B07"/>
    <w:rsid w:val="00252DD7"/>
    <w:rsid w:val="002568D5"/>
    <w:rsid w:val="0026664B"/>
    <w:rsid w:val="00275986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2F6622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64294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78F1"/>
    <w:rsid w:val="00421C5C"/>
    <w:rsid w:val="00424A5A"/>
    <w:rsid w:val="00452C1F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A77B0"/>
    <w:rsid w:val="004B0888"/>
    <w:rsid w:val="004C0EED"/>
    <w:rsid w:val="004C1F92"/>
    <w:rsid w:val="004C3B81"/>
    <w:rsid w:val="004D2A21"/>
    <w:rsid w:val="004E5901"/>
    <w:rsid w:val="004E7F96"/>
    <w:rsid w:val="004F1D8F"/>
    <w:rsid w:val="004F304B"/>
    <w:rsid w:val="00500E62"/>
    <w:rsid w:val="00507FC2"/>
    <w:rsid w:val="0051134F"/>
    <w:rsid w:val="00513E0C"/>
    <w:rsid w:val="00531F24"/>
    <w:rsid w:val="00534FC8"/>
    <w:rsid w:val="005442FD"/>
    <w:rsid w:val="00547CCA"/>
    <w:rsid w:val="0055334A"/>
    <w:rsid w:val="0056218D"/>
    <w:rsid w:val="00563DE0"/>
    <w:rsid w:val="00566B36"/>
    <w:rsid w:val="005717FD"/>
    <w:rsid w:val="00577762"/>
    <w:rsid w:val="00580FFE"/>
    <w:rsid w:val="00585D27"/>
    <w:rsid w:val="0058731A"/>
    <w:rsid w:val="00587691"/>
    <w:rsid w:val="0059010F"/>
    <w:rsid w:val="0059248B"/>
    <w:rsid w:val="00595115"/>
    <w:rsid w:val="005B0F7B"/>
    <w:rsid w:val="005B3956"/>
    <w:rsid w:val="005B5E4D"/>
    <w:rsid w:val="005C0A1F"/>
    <w:rsid w:val="005C3C59"/>
    <w:rsid w:val="005D0C85"/>
    <w:rsid w:val="005D5F3F"/>
    <w:rsid w:val="005E595A"/>
    <w:rsid w:val="005E5D2D"/>
    <w:rsid w:val="005E642E"/>
    <w:rsid w:val="005F3D28"/>
    <w:rsid w:val="005F52AE"/>
    <w:rsid w:val="005F6E16"/>
    <w:rsid w:val="00602A30"/>
    <w:rsid w:val="006054BF"/>
    <w:rsid w:val="00617301"/>
    <w:rsid w:val="00646289"/>
    <w:rsid w:val="00646C58"/>
    <w:rsid w:val="0065320E"/>
    <w:rsid w:val="00664752"/>
    <w:rsid w:val="00673ABE"/>
    <w:rsid w:val="006777CE"/>
    <w:rsid w:val="006934E1"/>
    <w:rsid w:val="00694200"/>
    <w:rsid w:val="0069616E"/>
    <w:rsid w:val="006A0604"/>
    <w:rsid w:val="006A317F"/>
    <w:rsid w:val="006A57EE"/>
    <w:rsid w:val="006A7042"/>
    <w:rsid w:val="006A7123"/>
    <w:rsid w:val="006B0F4B"/>
    <w:rsid w:val="006D456D"/>
    <w:rsid w:val="006D7313"/>
    <w:rsid w:val="006E5C14"/>
    <w:rsid w:val="006F408B"/>
    <w:rsid w:val="00703777"/>
    <w:rsid w:val="00716804"/>
    <w:rsid w:val="00737A20"/>
    <w:rsid w:val="0074381E"/>
    <w:rsid w:val="00754417"/>
    <w:rsid w:val="0078521D"/>
    <w:rsid w:val="00795DC2"/>
    <w:rsid w:val="007A5596"/>
    <w:rsid w:val="007B750A"/>
    <w:rsid w:val="007C0CD1"/>
    <w:rsid w:val="007C220B"/>
    <w:rsid w:val="007C257B"/>
    <w:rsid w:val="007C27C2"/>
    <w:rsid w:val="007C4FF4"/>
    <w:rsid w:val="007C5704"/>
    <w:rsid w:val="007E011D"/>
    <w:rsid w:val="007E0D5B"/>
    <w:rsid w:val="007E2276"/>
    <w:rsid w:val="007F218B"/>
    <w:rsid w:val="00810D0C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A2192"/>
    <w:rsid w:val="008A584F"/>
    <w:rsid w:val="008B0BE1"/>
    <w:rsid w:val="008C6A37"/>
    <w:rsid w:val="008D0B65"/>
    <w:rsid w:val="008D7A7F"/>
    <w:rsid w:val="008E4B67"/>
    <w:rsid w:val="008F0A65"/>
    <w:rsid w:val="008F7F2F"/>
    <w:rsid w:val="0090543A"/>
    <w:rsid w:val="00912DED"/>
    <w:rsid w:val="0091709C"/>
    <w:rsid w:val="009224E2"/>
    <w:rsid w:val="00922C71"/>
    <w:rsid w:val="00931ADF"/>
    <w:rsid w:val="009339F5"/>
    <w:rsid w:val="00933DD8"/>
    <w:rsid w:val="00934F3E"/>
    <w:rsid w:val="00937D77"/>
    <w:rsid w:val="00944267"/>
    <w:rsid w:val="00946BC0"/>
    <w:rsid w:val="00951511"/>
    <w:rsid w:val="0095553A"/>
    <w:rsid w:val="00962587"/>
    <w:rsid w:val="009822BE"/>
    <w:rsid w:val="00990C9A"/>
    <w:rsid w:val="009970B7"/>
    <w:rsid w:val="009A08A7"/>
    <w:rsid w:val="009A3307"/>
    <w:rsid w:val="009A41AC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0550"/>
    <w:rsid w:val="009E6A2C"/>
    <w:rsid w:val="009F0927"/>
    <w:rsid w:val="00A01A53"/>
    <w:rsid w:val="00A020B8"/>
    <w:rsid w:val="00A02970"/>
    <w:rsid w:val="00A1342C"/>
    <w:rsid w:val="00A15BB3"/>
    <w:rsid w:val="00A169EE"/>
    <w:rsid w:val="00A25266"/>
    <w:rsid w:val="00A325D0"/>
    <w:rsid w:val="00A37FB3"/>
    <w:rsid w:val="00A410A3"/>
    <w:rsid w:val="00A43941"/>
    <w:rsid w:val="00A47777"/>
    <w:rsid w:val="00A50357"/>
    <w:rsid w:val="00A52A4D"/>
    <w:rsid w:val="00A54C43"/>
    <w:rsid w:val="00A54C55"/>
    <w:rsid w:val="00A62D36"/>
    <w:rsid w:val="00A64852"/>
    <w:rsid w:val="00A74096"/>
    <w:rsid w:val="00A8081F"/>
    <w:rsid w:val="00A81B34"/>
    <w:rsid w:val="00A82A7D"/>
    <w:rsid w:val="00A8708A"/>
    <w:rsid w:val="00A918A4"/>
    <w:rsid w:val="00A91C28"/>
    <w:rsid w:val="00A96D04"/>
    <w:rsid w:val="00AB093E"/>
    <w:rsid w:val="00AB385B"/>
    <w:rsid w:val="00AB791A"/>
    <w:rsid w:val="00AC0500"/>
    <w:rsid w:val="00AC3444"/>
    <w:rsid w:val="00AC4DF4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370F4"/>
    <w:rsid w:val="00B4348E"/>
    <w:rsid w:val="00B45D35"/>
    <w:rsid w:val="00B47C04"/>
    <w:rsid w:val="00B53EC1"/>
    <w:rsid w:val="00B5771C"/>
    <w:rsid w:val="00B66FA2"/>
    <w:rsid w:val="00B73DE5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1455B"/>
    <w:rsid w:val="00C148BB"/>
    <w:rsid w:val="00C149C4"/>
    <w:rsid w:val="00C17C17"/>
    <w:rsid w:val="00C24562"/>
    <w:rsid w:val="00C37827"/>
    <w:rsid w:val="00C378B1"/>
    <w:rsid w:val="00C435D4"/>
    <w:rsid w:val="00C50520"/>
    <w:rsid w:val="00C63085"/>
    <w:rsid w:val="00C64EC0"/>
    <w:rsid w:val="00C70269"/>
    <w:rsid w:val="00C73CFA"/>
    <w:rsid w:val="00C77359"/>
    <w:rsid w:val="00C8411D"/>
    <w:rsid w:val="00C84F06"/>
    <w:rsid w:val="00C96C5A"/>
    <w:rsid w:val="00CA1B19"/>
    <w:rsid w:val="00CA1BC8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CF57E8"/>
    <w:rsid w:val="00D055B0"/>
    <w:rsid w:val="00D07F2D"/>
    <w:rsid w:val="00D13688"/>
    <w:rsid w:val="00D14C1F"/>
    <w:rsid w:val="00D15FA8"/>
    <w:rsid w:val="00D23D4D"/>
    <w:rsid w:val="00D27938"/>
    <w:rsid w:val="00D27B83"/>
    <w:rsid w:val="00D51CC5"/>
    <w:rsid w:val="00D55851"/>
    <w:rsid w:val="00D574FF"/>
    <w:rsid w:val="00D608C7"/>
    <w:rsid w:val="00D8056F"/>
    <w:rsid w:val="00D877BB"/>
    <w:rsid w:val="00D91D08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0F72"/>
    <w:rsid w:val="00DF2103"/>
    <w:rsid w:val="00DF4EF1"/>
    <w:rsid w:val="00DF6570"/>
    <w:rsid w:val="00E01833"/>
    <w:rsid w:val="00E27103"/>
    <w:rsid w:val="00E37F65"/>
    <w:rsid w:val="00E407D2"/>
    <w:rsid w:val="00E51564"/>
    <w:rsid w:val="00E62551"/>
    <w:rsid w:val="00E6262F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B06BE"/>
    <w:rsid w:val="00EB6AAF"/>
    <w:rsid w:val="00EE59CA"/>
    <w:rsid w:val="00F11449"/>
    <w:rsid w:val="00F211C0"/>
    <w:rsid w:val="00F224AE"/>
    <w:rsid w:val="00F5220F"/>
    <w:rsid w:val="00F54E60"/>
    <w:rsid w:val="00F5688C"/>
    <w:rsid w:val="00F619E7"/>
    <w:rsid w:val="00F67141"/>
    <w:rsid w:val="00F720C0"/>
    <w:rsid w:val="00F729CE"/>
    <w:rsid w:val="00F81314"/>
    <w:rsid w:val="00F86B2D"/>
    <w:rsid w:val="00F86C27"/>
    <w:rsid w:val="00F86DF0"/>
    <w:rsid w:val="00F943D8"/>
    <w:rsid w:val="00FB4035"/>
    <w:rsid w:val="00FC57FA"/>
    <w:rsid w:val="00FE3D89"/>
    <w:rsid w:val="00FE7BA7"/>
    <w:rsid w:val="00FF1C3D"/>
    <w:rsid w:val="1D681DEC"/>
    <w:rsid w:val="268758BC"/>
    <w:rsid w:val="27756816"/>
    <w:rsid w:val="2F523690"/>
    <w:rsid w:val="3557428F"/>
    <w:rsid w:val="3D252BDD"/>
    <w:rsid w:val="3D407E3C"/>
    <w:rsid w:val="3DCF0A74"/>
    <w:rsid w:val="3FCB28EB"/>
    <w:rsid w:val="3FFE83E2"/>
    <w:rsid w:val="40956B0D"/>
    <w:rsid w:val="4E1E02D7"/>
    <w:rsid w:val="4F204931"/>
    <w:rsid w:val="5C7FB188"/>
    <w:rsid w:val="5CFF02F5"/>
    <w:rsid w:val="663B3E7B"/>
    <w:rsid w:val="68BF971F"/>
    <w:rsid w:val="693A5856"/>
    <w:rsid w:val="6A2D5246"/>
    <w:rsid w:val="6FFF866B"/>
    <w:rsid w:val="73A82400"/>
    <w:rsid w:val="73DF6B15"/>
    <w:rsid w:val="748F20DD"/>
    <w:rsid w:val="76E4047F"/>
    <w:rsid w:val="7737040A"/>
    <w:rsid w:val="77EFDD89"/>
    <w:rsid w:val="77F96257"/>
    <w:rsid w:val="7B670669"/>
    <w:rsid w:val="7E6FE857"/>
    <w:rsid w:val="7E7F9E85"/>
    <w:rsid w:val="7ECE503D"/>
    <w:rsid w:val="7F2D4C7B"/>
    <w:rsid w:val="7FBFB80A"/>
    <w:rsid w:val="7FFF2CF2"/>
    <w:rsid w:val="8FFF192F"/>
    <w:rsid w:val="96FA18C0"/>
    <w:rsid w:val="9DDCB04D"/>
    <w:rsid w:val="9FFEEAC4"/>
    <w:rsid w:val="A63D4BC4"/>
    <w:rsid w:val="ABFBCD15"/>
    <w:rsid w:val="AE7EBED8"/>
    <w:rsid w:val="B6DFF41F"/>
    <w:rsid w:val="B9DE86CD"/>
    <w:rsid w:val="BA7B23C6"/>
    <w:rsid w:val="BDD7B7C1"/>
    <w:rsid w:val="BDEB7FB1"/>
    <w:rsid w:val="BFBF6BBA"/>
    <w:rsid w:val="DEFFAB64"/>
    <w:rsid w:val="E78B0EE4"/>
    <w:rsid w:val="EBFEFE96"/>
    <w:rsid w:val="EDFA807C"/>
    <w:rsid w:val="F51C3534"/>
    <w:rsid w:val="FDB453F8"/>
    <w:rsid w:val="FDFE0B6E"/>
    <w:rsid w:val="FEF7E132"/>
    <w:rsid w:val="FFDDFB2A"/>
    <w:rsid w:val="FFE7A161"/>
    <w:rsid w:val="FFF7E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Serif" w:hAnsi="MS Serif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uiPriority w:val="0"/>
  </w:style>
  <w:style w:type="character" w:customStyle="1" w:styleId="12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link w:val="3"/>
    <w:uiPriority w:val="9"/>
    <w:rPr>
      <w:rFonts w:ascii="Cambria" w:hAnsi="Cambria"/>
      <w:b/>
      <w:bCs/>
      <w:sz w:val="32"/>
      <w:szCs w:val="32"/>
    </w:rPr>
  </w:style>
  <w:style w:type="character" w:customStyle="1" w:styleId="14">
    <w:name w:val="批注框文本 Char"/>
    <w:link w:val="5"/>
    <w:uiPriority w:val="0"/>
    <w:rPr>
      <w:sz w:val="18"/>
      <w:szCs w:val="18"/>
    </w:rPr>
  </w:style>
  <w:style w:type="character" w:customStyle="1" w:styleId="15">
    <w:name w:val="页脚 Char"/>
    <w:link w:val="6"/>
    <w:uiPriority w:val="99"/>
    <w:rPr>
      <w:sz w:val="18"/>
      <w:szCs w:val="18"/>
    </w:rPr>
  </w:style>
  <w:style w:type="paragraph" w:customStyle="1" w:styleId="16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3501</Words>
  <Characters>3913</Characters>
  <Lines>34</Lines>
  <Paragraphs>9</Paragraphs>
  <TotalTime>5.33333333333333</TotalTime>
  <ScaleCrop>false</ScaleCrop>
  <LinksUpToDate>false</LinksUpToDate>
  <CharactersWithSpaces>3946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2024-02-26T09:39:00Z</dcterms:created>
  <dc:creator>朱春礼</dc:creator>
  <cp:lastModifiedBy>否极泰来</cp:lastModifiedBy>
  <cp:lastPrinted>2026-02-01T10:06:34Z</cp:lastPrinted>
  <dcterms:modified xsi:type="dcterms:W3CDTF">2026-02-11T08:22:14Z</dcterms:modified>
  <dc:title>附件1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F8E637DB79F44253A0AD9ACD19D5621B_13</vt:lpwstr>
  </property>
</Properties>
</file>