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bookmarkStart w:id="5" w:name="_GoBack"/>
      <w:bookmarkEnd w:id="5"/>
      <w:r>
        <w:rPr>
          <w:rFonts w:ascii="方正仿宋_GBK" w:hAnsi="方正仿宋_GBK" w:eastAsia="方正仿宋_GBK" w:cs="方正仿宋_GBK"/>
          <w:sz w:val="28"/>
        </w:rPr>
        <w:t xml:space="preserve"> </w:t>
      </w:r>
    </w:p>
    <w:p>
      <w:pPr>
        <w:spacing w:before="0" w:after="0"/>
        <w:ind w:firstLine="560"/>
        <w:jc w:val="left"/>
        <w:outlineLvl w:val="3"/>
      </w:pPr>
      <w:bookmarkStart w:id="0" w:name="_Toc_4_4_0000000004"/>
      <w:r>
        <w:rPr>
          <w:rFonts w:ascii="方正仿宋_GBK" w:hAnsi="方正仿宋_GBK" w:eastAsia="方正仿宋_GBK" w:cs="方正仿宋_GBK"/>
          <w:sz w:val="28"/>
        </w:rPr>
        <w:t>1.2026年统计局普查工作专项经费绩效目标表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349101天津市滨海新区统计局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2026年统计局普查工作专项经费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418500.00</w:t>
            </w:r>
          </w:p>
        </w:tc>
        <w:tc>
          <w:tcPr>
            <w:tcW w:w="1587" w:type="dxa"/>
            <w:vAlign w:val="center"/>
          </w:tcPr>
          <w:p>
            <w:pPr>
              <w:pStyle w:val="14"/>
            </w:pPr>
            <w:r>
              <w:t>其中：财政    资金</w:t>
            </w:r>
          </w:p>
        </w:tc>
        <w:tc>
          <w:tcPr>
            <w:tcW w:w="1843" w:type="dxa"/>
            <w:vAlign w:val="center"/>
          </w:tcPr>
          <w:p>
            <w:pPr>
              <w:pStyle w:val="13"/>
            </w:pPr>
            <w:r>
              <w:t>418500.00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开展普查宣传、普查培训，购买普查设备等支出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1.通过开展我区普查工作，完成清查摸底阶段工作，为普查正式登记生成底册。</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普查工作涉农街镇数量</w:t>
            </w:r>
          </w:p>
        </w:tc>
        <w:tc>
          <w:tcPr>
            <w:tcW w:w="3430" w:type="dxa"/>
            <w:vAlign w:val="center"/>
          </w:tcPr>
          <w:p>
            <w:pPr>
              <w:pStyle w:val="13"/>
            </w:pPr>
            <w:r>
              <w:t>通过普查工作涉及街镇的数量，反映普查工作开展范围情况</w:t>
            </w:r>
          </w:p>
        </w:tc>
        <w:tc>
          <w:tcPr>
            <w:tcW w:w="2551" w:type="dxa"/>
            <w:vAlign w:val="center"/>
          </w:tcPr>
          <w:p>
            <w:pPr>
              <w:pStyle w:val="13"/>
            </w:pPr>
            <w:r>
              <w:t>≥12个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任务完成达标率</w:t>
            </w:r>
          </w:p>
        </w:tc>
        <w:tc>
          <w:tcPr>
            <w:tcW w:w="3430" w:type="dxa"/>
            <w:vAlign w:val="center"/>
          </w:tcPr>
          <w:p>
            <w:pPr>
              <w:pStyle w:val="13"/>
            </w:pPr>
            <w:r>
              <w:t>通过合规完成制定计划的项目数量与应完成项目的数量的比率，反映任务完成的达标情况</w:t>
            </w:r>
          </w:p>
        </w:tc>
        <w:tc>
          <w:tcPr>
            <w:tcW w:w="2551" w:type="dxa"/>
            <w:vAlign w:val="center"/>
          </w:tcPr>
          <w:p>
            <w:pPr>
              <w:pStyle w:val="13"/>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清查摸底时间</w:t>
            </w:r>
          </w:p>
        </w:tc>
        <w:tc>
          <w:tcPr>
            <w:tcW w:w="3430" w:type="dxa"/>
            <w:vAlign w:val="center"/>
          </w:tcPr>
          <w:p>
            <w:pPr>
              <w:pStyle w:val="13"/>
            </w:pPr>
            <w:r>
              <w:t>通过完成普查清查摸底的时间，反映普查清查工作完成的及时情况</w:t>
            </w:r>
          </w:p>
        </w:tc>
        <w:tc>
          <w:tcPr>
            <w:tcW w:w="2551" w:type="dxa"/>
            <w:vAlign w:val="center"/>
          </w:tcPr>
          <w:p>
            <w:pPr>
              <w:pStyle w:val="13"/>
            </w:pPr>
            <w:r>
              <w:t>2026年12月底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普查经费标准</w:t>
            </w:r>
          </w:p>
        </w:tc>
        <w:tc>
          <w:tcPr>
            <w:tcW w:w="3430" w:type="dxa"/>
            <w:vAlign w:val="center"/>
          </w:tcPr>
          <w:p>
            <w:pPr>
              <w:pStyle w:val="13"/>
            </w:pPr>
            <w:r>
              <w:t>通过实际每年普查工作支出与计划支出标准的对比，反映普查工作开展的成本控制情况</w:t>
            </w:r>
          </w:p>
        </w:tc>
        <w:tc>
          <w:tcPr>
            <w:tcW w:w="2551" w:type="dxa"/>
            <w:vAlign w:val="center"/>
          </w:tcPr>
          <w:p>
            <w:pPr>
              <w:pStyle w:val="13"/>
            </w:pPr>
            <w:r>
              <w:t>≤41.85万元/年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普查统计资料保存完好率</w:t>
            </w:r>
          </w:p>
        </w:tc>
        <w:tc>
          <w:tcPr>
            <w:tcW w:w="3430" w:type="dxa"/>
            <w:vAlign w:val="center"/>
          </w:tcPr>
          <w:p>
            <w:pPr>
              <w:pStyle w:val="13"/>
            </w:pPr>
            <w:r>
              <w:t>通过保存完好的普查统计资料与统计资料总数的比率，反映普查统计资料为决策提供依据的支撑效果情况</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抽样调查统计调查员对统计工作满意度</w:t>
            </w:r>
          </w:p>
        </w:tc>
        <w:tc>
          <w:tcPr>
            <w:tcW w:w="3430" w:type="dxa"/>
            <w:vAlign w:val="center"/>
          </w:tcPr>
          <w:p>
            <w:pPr>
              <w:pStyle w:val="13"/>
            </w:pPr>
            <w:r>
              <w:t>通过抽样调查统计调查员对统计工作满意的人数与调查总人数的比率，反映被调查对象对本项目的满意度</w:t>
            </w:r>
          </w:p>
        </w:tc>
        <w:tc>
          <w:tcPr>
            <w:tcW w:w="2551" w:type="dxa"/>
            <w:vAlign w:val="center"/>
          </w:tcPr>
          <w:p>
            <w:pPr>
              <w:pStyle w:val="13"/>
            </w:pPr>
            <w:r>
              <w:t>≥85%</w:t>
            </w:r>
          </w:p>
        </w:tc>
      </w:tr>
    </w:tbl>
    <w:p>
      <w:pPr>
        <w:sectPr>
          <w:footerReference r:id="rId3" w:type="default"/>
          <w:footerReference r:id="rId4" w:type="even"/>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 w:name="_Toc_4_4_0000000005"/>
      <w:r>
        <w:rPr>
          <w:rFonts w:ascii="方正仿宋_GBK" w:hAnsi="方正仿宋_GBK" w:eastAsia="方正仿宋_GBK" w:cs="方正仿宋_GBK"/>
          <w:sz w:val="28"/>
        </w:rPr>
        <w:t>2.2026年统计局统计工作专项经费绩效目标表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349101天津市滨海新区统计局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2026年统计局统计工作专项经费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560000.00</w:t>
            </w:r>
          </w:p>
        </w:tc>
        <w:tc>
          <w:tcPr>
            <w:tcW w:w="1587" w:type="dxa"/>
            <w:vAlign w:val="center"/>
          </w:tcPr>
          <w:p>
            <w:pPr>
              <w:pStyle w:val="14"/>
            </w:pPr>
            <w:r>
              <w:t>其中：财政    资金</w:t>
            </w:r>
          </w:p>
        </w:tc>
        <w:tc>
          <w:tcPr>
            <w:tcW w:w="1843" w:type="dxa"/>
            <w:vAlign w:val="center"/>
          </w:tcPr>
          <w:p>
            <w:pPr>
              <w:pStyle w:val="13"/>
            </w:pPr>
            <w:r>
              <w:t>560000.00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统计产品印刷、统计宣传、统计培训、统计专网网费等支出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1.通过印刷统计产品等方式，加强统计数据宣传应用、提高统计专业水平。</w:t>
            </w:r>
          </w:p>
          <w:p>
            <w:pPr>
              <w:pStyle w:val="13"/>
            </w:pPr>
            <w:r>
              <w:t>2.通过网络、机房等运维，保障新区统计局网络环境安全。</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印刷统计产品种类数量</w:t>
            </w:r>
          </w:p>
        </w:tc>
        <w:tc>
          <w:tcPr>
            <w:tcW w:w="3430" w:type="dxa"/>
            <w:vAlign w:val="center"/>
          </w:tcPr>
          <w:p>
            <w:pPr>
              <w:pStyle w:val="13"/>
            </w:pPr>
            <w:r>
              <w:t>通过考量实际印刷统计产品种类的数量，反映统计产品印刷工作的完成情况</w:t>
            </w:r>
          </w:p>
        </w:tc>
        <w:tc>
          <w:tcPr>
            <w:tcW w:w="2551" w:type="dxa"/>
            <w:vAlign w:val="center"/>
          </w:tcPr>
          <w:p>
            <w:pPr>
              <w:pStyle w:val="13"/>
            </w:pPr>
            <w:r>
              <w:t>≥3类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统计网络每周正常运行时间</w:t>
            </w:r>
          </w:p>
        </w:tc>
        <w:tc>
          <w:tcPr>
            <w:tcW w:w="3430" w:type="dxa"/>
            <w:vAlign w:val="center"/>
          </w:tcPr>
          <w:p>
            <w:pPr>
              <w:pStyle w:val="13"/>
            </w:pPr>
            <w:r>
              <w:t>通过考量统计局网络每周实际正常运行时间，反映维护统计网络运转工作的完成情况</w:t>
            </w:r>
          </w:p>
        </w:tc>
        <w:tc>
          <w:tcPr>
            <w:tcW w:w="2551" w:type="dxa"/>
            <w:vAlign w:val="center"/>
          </w:tcPr>
          <w:p>
            <w:pPr>
              <w:pStyle w:val="13"/>
            </w:pPr>
            <w:r>
              <w:t>≥40小时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统计产品验收合格率</w:t>
            </w:r>
          </w:p>
        </w:tc>
        <w:tc>
          <w:tcPr>
            <w:tcW w:w="3430" w:type="dxa"/>
            <w:vAlign w:val="center"/>
          </w:tcPr>
          <w:p>
            <w:pPr>
              <w:pStyle w:val="13"/>
            </w:pPr>
            <w:r>
              <w:t>通过验收合格的统计产品数量与印刷统计产品总数的比率，反映统计产品质量情况</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网络运行故障响应率</w:t>
            </w:r>
          </w:p>
        </w:tc>
        <w:tc>
          <w:tcPr>
            <w:tcW w:w="3430" w:type="dxa"/>
            <w:vAlign w:val="center"/>
          </w:tcPr>
          <w:p>
            <w:pPr>
              <w:pStyle w:val="13"/>
            </w:pPr>
            <w:r>
              <w:t>通过考量及时维修的网络运行故障与网络故障次数的比率，反映网络运行故障响应率</w:t>
            </w:r>
          </w:p>
        </w:tc>
        <w:tc>
          <w:tcPr>
            <w:tcW w:w="2551" w:type="dxa"/>
            <w:vAlign w:val="center"/>
          </w:tcPr>
          <w:p>
            <w:pPr>
              <w:pStyle w:val="13"/>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统计产品印刷完成时间</w:t>
            </w:r>
          </w:p>
        </w:tc>
        <w:tc>
          <w:tcPr>
            <w:tcW w:w="3430" w:type="dxa"/>
            <w:vAlign w:val="center"/>
          </w:tcPr>
          <w:p>
            <w:pPr>
              <w:pStyle w:val="13"/>
            </w:pPr>
            <w:r>
              <w:t>通过完成统计产品印刷的时间，反映统计产品印刷工作完成的及时情况</w:t>
            </w:r>
          </w:p>
        </w:tc>
        <w:tc>
          <w:tcPr>
            <w:tcW w:w="2551" w:type="dxa"/>
            <w:vAlign w:val="center"/>
          </w:tcPr>
          <w:p>
            <w:pPr>
              <w:pStyle w:val="13"/>
            </w:pPr>
            <w:r>
              <w:t>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网络故障修复处理时间</w:t>
            </w:r>
          </w:p>
        </w:tc>
        <w:tc>
          <w:tcPr>
            <w:tcW w:w="3430" w:type="dxa"/>
            <w:vAlign w:val="center"/>
          </w:tcPr>
          <w:p>
            <w:pPr>
              <w:pStyle w:val="13"/>
            </w:pPr>
            <w:r>
              <w:t>通过网络故障修复处理时间，反映网络故障修复及时率</w:t>
            </w:r>
          </w:p>
        </w:tc>
        <w:tc>
          <w:tcPr>
            <w:tcW w:w="2551" w:type="dxa"/>
            <w:vAlign w:val="center"/>
          </w:tcPr>
          <w:p>
            <w:pPr>
              <w:pStyle w:val="13"/>
            </w:pPr>
            <w:r>
              <w:t>&lt;8小时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统计产品平均单本印刷成本</w:t>
            </w:r>
          </w:p>
        </w:tc>
        <w:tc>
          <w:tcPr>
            <w:tcW w:w="3430" w:type="dxa"/>
            <w:vAlign w:val="center"/>
          </w:tcPr>
          <w:p>
            <w:pPr>
              <w:pStyle w:val="13"/>
            </w:pPr>
            <w:r>
              <w:t>通过考量实际统计产品印刷单本成本，反映统计产品平均单本印刷的成本控制情况</w:t>
            </w:r>
          </w:p>
        </w:tc>
        <w:tc>
          <w:tcPr>
            <w:tcW w:w="2551" w:type="dxa"/>
            <w:vAlign w:val="center"/>
          </w:tcPr>
          <w:p>
            <w:pPr>
              <w:pStyle w:val="13"/>
            </w:pPr>
            <w:r>
              <w:t>≤400元/套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统计网络每月运行成本</w:t>
            </w:r>
          </w:p>
        </w:tc>
        <w:tc>
          <w:tcPr>
            <w:tcW w:w="3430" w:type="dxa"/>
            <w:vAlign w:val="center"/>
          </w:tcPr>
          <w:p>
            <w:pPr>
              <w:pStyle w:val="13"/>
            </w:pPr>
            <w:r>
              <w:t>通过考量实际统计网络每月成本，反映统计网络每月的成本控制情况</w:t>
            </w:r>
          </w:p>
        </w:tc>
        <w:tc>
          <w:tcPr>
            <w:tcW w:w="2551" w:type="dxa"/>
            <w:vAlign w:val="center"/>
          </w:tcPr>
          <w:p>
            <w:pPr>
              <w:pStyle w:val="13"/>
            </w:pPr>
            <w:r>
              <w:t>≤1万元/月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统计产品发放情况</w:t>
            </w:r>
          </w:p>
        </w:tc>
        <w:tc>
          <w:tcPr>
            <w:tcW w:w="3430" w:type="dxa"/>
            <w:vAlign w:val="center"/>
          </w:tcPr>
          <w:p>
            <w:pPr>
              <w:pStyle w:val="13"/>
            </w:pPr>
            <w:r>
              <w:t>通过实际发放统计产品的政府单位数量情况，反映统计产品发放效果情况</w:t>
            </w:r>
          </w:p>
        </w:tc>
        <w:tc>
          <w:tcPr>
            <w:tcW w:w="2551" w:type="dxa"/>
            <w:vAlign w:val="center"/>
          </w:tcPr>
          <w:p>
            <w:pPr>
              <w:pStyle w:val="13"/>
            </w:pPr>
            <w:r>
              <w:t>≥40个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控制网络故障次数</w:t>
            </w:r>
          </w:p>
        </w:tc>
        <w:tc>
          <w:tcPr>
            <w:tcW w:w="3430" w:type="dxa"/>
            <w:vAlign w:val="center"/>
          </w:tcPr>
          <w:p>
            <w:pPr>
              <w:pStyle w:val="13"/>
            </w:pPr>
            <w:r>
              <w:t>通过网络故障次数，反映统计网络运行对日常工作保障的效果情况</w:t>
            </w:r>
          </w:p>
        </w:tc>
        <w:tc>
          <w:tcPr>
            <w:tcW w:w="2551" w:type="dxa"/>
            <w:vAlign w:val="center"/>
          </w:tcPr>
          <w:p>
            <w:pPr>
              <w:pStyle w:val="13"/>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抽样调查统计产品使用单位满意度</w:t>
            </w:r>
          </w:p>
        </w:tc>
        <w:tc>
          <w:tcPr>
            <w:tcW w:w="3430" w:type="dxa"/>
            <w:vAlign w:val="center"/>
          </w:tcPr>
          <w:p>
            <w:pPr>
              <w:pStyle w:val="13"/>
            </w:pPr>
            <w:r>
              <w:t>通过抽样调查统计产品使用单位的满意的个数与调查总数的比率，反映对统计产品的满意度</w:t>
            </w:r>
          </w:p>
        </w:tc>
        <w:tc>
          <w:tcPr>
            <w:tcW w:w="2551" w:type="dxa"/>
            <w:vAlign w:val="center"/>
          </w:tcPr>
          <w:p>
            <w:pPr>
              <w:pStyle w:val="13"/>
            </w:pPr>
            <w: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各室对统计网络满意度</w:t>
            </w:r>
          </w:p>
        </w:tc>
        <w:tc>
          <w:tcPr>
            <w:tcW w:w="3430" w:type="dxa"/>
            <w:vAlign w:val="center"/>
          </w:tcPr>
          <w:p>
            <w:pPr>
              <w:pStyle w:val="13"/>
            </w:pPr>
            <w:r>
              <w:t>通过各室对统计网络满意的个数与总个数的比率，反映对统计网络的满意度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 w:name="_Toc_4_4_0000000006"/>
      <w:r>
        <w:rPr>
          <w:rFonts w:ascii="方正仿宋_GBK" w:hAnsi="方正仿宋_GBK" w:eastAsia="方正仿宋_GBK" w:cs="方正仿宋_GBK"/>
          <w:sz w:val="28"/>
        </w:rPr>
        <w:t>3.2026年编制外长聘人员经费项目（机关事业单位辅助人员）绩效目标表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349101天津市滨海新区统计局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2026年编制外长聘人员经费项目（机关事业单位辅助人员）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325000.00</w:t>
            </w:r>
          </w:p>
        </w:tc>
        <w:tc>
          <w:tcPr>
            <w:tcW w:w="1587" w:type="dxa"/>
            <w:vAlign w:val="center"/>
          </w:tcPr>
          <w:p>
            <w:pPr>
              <w:pStyle w:val="14"/>
            </w:pPr>
            <w:r>
              <w:t>其中：财政    资金</w:t>
            </w:r>
          </w:p>
        </w:tc>
        <w:tc>
          <w:tcPr>
            <w:tcW w:w="1843" w:type="dxa"/>
            <w:vAlign w:val="center"/>
          </w:tcPr>
          <w:p>
            <w:pPr>
              <w:pStyle w:val="13"/>
            </w:pPr>
            <w:r>
              <w:t>325000.00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四下小抽、普查人员薪酬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1.通过发放多种用工派遣人员工作经费，保障派遣员工的基本合法权益，保障工作顺利推进。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多种用工人员经费发放人数</w:t>
            </w:r>
          </w:p>
        </w:tc>
        <w:tc>
          <w:tcPr>
            <w:tcW w:w="3430" w:type="dxa"/>
            <w:vAlign w:val="center"/>
          </w:tcPr>
          <w:p>
            <w:pPr>
              <w:pStyle w:val="13"/>
            </w:pPr>
            <w:r>
              <w:t>通过考量实际多种用工人员经费发放人数，反映多种用工人员经费发放工作开展的完成情况。</w:t>
            </w:r>
          </w:p>
        </w:tc>
        <w:tc>
          <w:tcPr>
            <w:tcW w:w="2551" w:type="dxa"/>
            <w:vAlign w:val="center"/>
          </w:tcPr>
          <w:p>
            <w:pPr>
              <w:pStyle w:val="13"/>
            </w:pPr>
            <w:r>
              <w:t>≥5人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多种用工人员经费发放准确率</w:t>
            </w:r>
          </w:p>
        </w:tc>
        <w:tc>
          <w:tcPr>
            <w:tcW w:w="3430" w:type="dxa"/>
            <w:vAlign w:val="center"/>
          </w:tcPr>
          <w:p>
            <w:pPr>
              <w:pStyle w:val="13"/>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多种用工人员经费发放完成时间</w:t>
            </w:r>
          </w:p>
        </w:tc>
        <w:tc>
          <w:tcPr>
            <w:tcW w:w="3430" w:type="dxa"/>
            <w:vAlign w:val="center"/>
          </w:tcPr>
          <w:p>
            <w:pPr>
              <w:pStyle w:val="13"/>
            </w:pPr>
            <w:r>
              <w:t>通过考量实际多种用工人员经费发放完成时间，反映多种用工人员经费发放工作开展的完成情况。</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多种用工人员经费标准</w:t>
            </w:r>
          </w:p>
        </w:tc>
        <w:tc>
          <w:tcPr>
            <w:tcW w:w="3430" w:type="dxa"/>
            <w:vAlign w:val="center"/>
          </w:tcPr>
          <w:p>
            <w:pPr>
              <w:pStyle w:val="13"/>
            </w:pPr>
            <w:r>
              <w:t>通过实际支出标准与规定支出标准比对，反映多种用工人员经费支出标准的符合情况。</w:t>
            </w:r>
          </w:p>
        </w:tc>
        <w:tc>
          <w:tcPr>
            <w:tcW w:w="2551" w:type="dxa"/>
            <w:vAlign w:val="center"/>
          </w:tcPr>
          <w:p>
            <w:pPr>
              <w:pStyle w:val="13"/>
            </w:pPr>
            <w:r>
              <w:t>≤6.5万元/人/年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多种用工人员到岗率</w:t>
            </w:r>
          </w:p>
        </w:tc>
        <w:tc>
          <w:tcPr>
            <w:tcW w:w="3430" w:type="dxa"/>
            <w:vAlign w:val="center"/>
          </w:tcPr>
          <w:p>
            <w:pPr>
              <w:pStyle w:val="13"/>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完善多种用工人员经费管理制度</w:t>
            </w:r>
          </w:p>
        </w:tc>
        <w:tc>
          <w:tcPr>
            <w:tcW w:w="3430" w:type="dxa"/>
            <w:vAlign w:val="center"/>
          </w:tcPr>
          <w:p>
            <w:pPr>
              <w:pStyle w:val="13"/>
            </w:pPr>
            <w:r>
              <w:t>通过多种用工人员经费管理制度或办法的完善情况，反映多种用工人员经费管理工作开展的长效保障效果。</w:t>
            </w:r>
          </w:p>
        </w:tc>
        <w:tc>
          <w:tcPr>
            <w:tcW w:w="2551" w:type="dxa"/>
            <w:vAlign w:val="center"/>
          </w:tcPr>
          <w:p>
            <w:pPr>
              <w:pStyle w:val="13"/>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用工单位对多种用工人员满意度</w:t>
            </w:r>
          </w:p>
        </w:tc>
        <w:tc>
          <w:tcPr>
            <w:tcW w:w="3430" w:type="dxa"/>
            <w:vAlign w:val="center"/>
          </w:tcPr>
          <w:p>
            <w:pPr>
              <w:pStyle w:val="13"/>
            </w:pPr>
            <w:r>
              <w:t>通过用工单位对多种用工人员的考核情况，反映用工单位对多种用工人员的满意度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 w:name="_Toc_4_4_0000000007"/>
      <w:r>
        <w:rPr>
          <w:rFonts w:ascii="方正仿宋_GBK" w:hAnsi="方正仿宋_GBK" w:eastAsia="方正仿宋_GBK" w:cs="方正仿宋_GBK"/>
          <w:sz w:val="28"/>
        </w:rPr>
        <w:t>4.2026年编制外长聘人员经费项目（机关事业单位辅助人员）（政府雇员）绩效目标表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349101天津市滨海新区统计局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2026年编制外长聘人员经费项目（机关事业单位辅助人员）（政府雇员）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216000.00</w:t>
            </w:r>
          </w:p>
        </w:tc>
        <w:tc>
          <w:tcPr>
            <w:tcW w:w="1587" w:type="dxa"/>
            <w:vAlign w:val="center"/>
          </w:tcPr>
          <w:p>
            <w:pPr>
              <w:pStyle w:val="14"/>
            </w:pPr>
            <w:r>
              <w:t>其中：财政    资金</w:t>
            </w:r>
          </w:p>
        </w:tc>
        <w:tc>
          <w:tcPr>
            <w:tcW w:w="1843" w:type="dxa"/>
            <w:vAlign w:val="center"/>
          </w:tcPr>
          <w:p>
            <w:pPr>
              <w:pStyle w:val="13"/>
            </w:pPr>
            <w:r>
              <w:t>216000.00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发放政府雇员工资等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1.通过发放多种用工派遣人员工作经费，保障派遣员工的基本合法权益，保障工作顺利推进。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多种用工人员经费发放人数</w:t>
            </w:r>
          </w:p>
        </w:tc>
        <w:tc>
          <w:tcPr>
            <w:tcW w:w="3430" w:type="dxa"/>
            <w:vAlign w:val="center"/>
          </w:tcPr>
          <w:p>
            <w:pPr>
              <w:pStyle w:val="13"/>
            </w:pPr>
            <w:r>
              <w:t>通过考量实际多种用工人员经费发放人数，反映多种用工人员经费发放工作开展的完成情况。</w:t>
            </w:r>
          </w:p>
        </w:tc>
        <w:tc>
          <w:tcPr>
            <w:tcW w:w="2551" w:type="dxa"/>
            <w:vAlign w:val="center"/>
          </w:tcPr>
          <w:p>
            <w:pPr>
              <w:pStyle w:val="13"/>
            </w:pPr>
            <w:r>
              <w:t>≥3人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多种用工人员经费发放准确率</w:t>
            </w:r>
          </w:p>
        </w:tc>
        <w:tc>
          <w:tcPr>
            <w:tcW w:w="3430" w:type="dxa"/>
            <w:vAlign w:val="center"/>
          </w:tcPr>
          <w:p>
            <w:pPr>
              <w:pStyle w:val="13"/>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多种用工人员经费发放完成时间</w:t>
            </w:r>
          </w:p>
        </w:tc>
        <w:tc>
          <w:tcPr>
            <w:tcW w:w="3430" w:type="dxa"/>
            <w:vAlign w:val="center"/>
          </w:tcPr>
          <w:p>
            <w:pPr>
              <w:pStyle w:val="13"/>
            </w:pPr>
            <w:r>
              <w:t>通过考量实际多种用工人员经费发放完成时间，反映多种用工人员经费发放工作开展的完成情况。</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多种用工人员经费标准</w:t>
            </w:r>
          </w:p>
        </w:tc>
        <w:tc>
          <w:tcPr>
            <w:tcW w:w="3430" w:type="dxa"/>
            <w:vAlign w:val="center"/>
          </w:tcPr>
          <w:p>
            <w:pPr>
              <w:pStyle w:val="13"/>
            </w:pPr>
            <w:r>
              <w:t>通过实际支出标准与规定支出标准比对，反映多种用工人员经费支出标准的符合情况。</w:t>
            </w:r>
          </w:p>
        </w:tc>
        <w:tc>
          <w:tcPr>
            <w:tcW w:w="2551" w:type="dxa"/>
            <w:vAlign w:val="center"/>
          </w:tcPr>
          <w:p>
            <w:pPr>
              <w:pStyle w:val="13"/>
            </w:pPr>
            <w:r>
              <w:t>≤7.2万元/人/年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多种用工人员到岗率</w:t>
            </w:r>
          </w:p>
        </w:tc>
        <w:tc>
          <w:tcPr>
            <w:tcW w:w="3430" w:type="dxa"/>
            <w:vAlign w:val="center"/>
          </w:tcPr>
          <w:p>
            <w:pPr>
              <w:pStyle w:val="13"/>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完善多种用工人员经费管理制度</w:t>
            </w:r>
          </w:p>
        </w:tc>
        <w:tc>
          <w:tcPr>
            <w:tcW w:w="3430" w:type="dxa"/>
            <w:vAlign w:val="center"/>
          </w:tcPr>
          <w:p>
            <w:pPr>
              <w:pStyle w:val="13"/>
            </w:pPr>
            <w:r>
              <w:t>通过多种用工人员经费管理制度或办法的完善情况，反映多种用工人员经费管理工作开展的长效保障效果。</w:t>
            </w:r>
          </w:p>
        </w:tc>
        <w:tc>
          <w:tcPr>
            <w:tcW w:w="2551" w:type="dxa"/>
            <w:vAlign w:val="center"/>
          </w:tcPr>
          <w:p>
            <w:pPr>
              <w:pStyle w:val="13"/>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用工单位对多种用工人员满意度</w:t>
            </w:r>
          </w:p>
        </w:tc>
        <w:tc>
          <w:tcPr>
            <w:tcW w:w="3430" w:type="dxa"/>
            <w:vAlign w:val="center"/>
          </w:tcPr>
          <w:p>
            <w:pPr>
              <w:pStyle w:val="13"/>
            </w:pPr>
            <w:r>
              <w:t>通过用工单位对多种用工人员的考核情况，反映用工单位对多种用工人员的满意度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 w:name="_Toc_4_4_0000000008"/>
      <w:r>
        <w:rPr>
          <w:rFonts w:ascii="方正仿宋_GBK" w:hAnsi="方正仿宋_GBK" w:eastAsia="方正仿宋_GBK" w:cs="方正仿宋_GBK"/>
          <w:sz w:val="28"/>
        </w:rPr>
        <w:t>5.2026年编制外长聘人员经费项目（专职统计员）绩效目标表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349101天津市滨海新区统计局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2026年编制外长聘人员经费项目（专职统计员）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3534000.00</w:t>
            </w:r>
          </w:p>
        </w:tc>
        <w:tc>
          <w:tcPr>
            <w:tcW w:w="1587" w:type="dxa"/>
            <w:vAlign w:val="center"/>
          </w:tcPr>
          <w:p>
            <w:pPr>
              <w:pStyle w:val="14"/>
            </w:pPr>
            <w:r>
              <w:t>其中：财政    资金</w:t>
            </w:r>
          </w:p>
        </w:tc>
        <w:tc>
          <w:tcPr>
            <w:tcW w:w="1843" w:type="dxa"/>
            <w:vAlign w:val="center"/>
          </w:tcPr>
          <w:p>
            <w:pPr>
              <w:pStyle w:val="13"/>
            </w:pPr>
            <w:r>
              <w:t>3534000.00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专职统计员劳务报酬等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1.通过发放多种用工派遣人员工作经费，保障派遣员工的基本合法权益，保障工作顺利推进。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多种用工人员经费发放人数</w:t>
            </w:r>
          </w:p>
        </w:tc>
        <w:tc>
          <w:tcPr>
            <w:tcW w:w="3430" w:type="dxa"/>
            <w:vAlign w:val="center"/>
          </w:tcPr>
          <w:p>
            <w:pPr>
              <w:pStyle w:val="13"/>
            </w:pPr>
            <w:r>
              <w:t>通过考量实际多种用工人员经费发放人数，反映多种用工人员经费发放工作开展的完成情况。</w:t>
            </w:r>
          </w:p>
        </w:tc>
        <w:tc>
          <w:tcPr>
            <w:tcW w:w="2551" w:type="dxa"/>
            <w:vAlign w:val="center"/>
          </w:tcPr>
          <w:p>
            <w:pPr>
              <w:pStyle w:val="13"/>
            </w:pPr>
            <w:r>
              <w:t>≥31人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多种用工人员经费发放准确率</w:t>
            </w:r>
          </w:p>
        </w:tc>
        <w:tc>
          <w:tcPr>
            <w:tcW w:w="3430" w:type="dxa"/>
            <w:vAlign w:val="center"/>
          </w:tcPr>
          <w:p>
            <w:pPr>
              <w:pStyle w:val="13"/>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多种用工人员经费发放完成时间</w:t>
            </w:r>
          </w:p>
        </w:tc>
        <w:tc>
          <w:tcPr>
            <w:tcW w:w="3430" w:type="dxa"/>
            <w:vAlign w:val="center"/>
          </w:tcPr>
          <w:p>
            <w:pPr>
              <w:pStyle w:val="13"/>
            </w:pPr>
            <w:r>
              <w:t>通过考量实际多种用工人员经费发放完成时间，反映多种用工人员经费发放工作开展的完成情况。</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多种用工人员经费标准</w:t>
            </w:r>
          </w:p>
        </w:tc>
        <w:tc>
          <w:tcPr>
            <w:tcW w:w="3430" w:type="dxa"/>
            <w:vAlign w:val="center"/>
          </w:tcPr>
          <w:p>
            <w:pPr>
              <w:pStyle w:val="13"/>
            </w:pPr>
            <w:r>
              <w:t>通过实际支出标准与规定支出标准比对，反映多种用工人员经费支出标准的符合情况。</w:t>
            </w:r>
          </w:p>
        </w:tc>
        <w:tc>
          <w:tcPr>
            <w:tcW w:w="2551" w:type="dxa"/>
            <w:vAlign w:val="center"/>
          </w:tcPr>
          <w:p>
            <w:pPr>
              <w:pStyle w:val="13"/>
            </w:pPr>
            <w:r>
              <w:t>≤11.4万元/人/年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多种用工人员到岗率</w:t>
            </w:r>
          </w:p>
        </w:tc>
        <w:tc>
          <w:tcPr>
            <w:tcW w:w="3430" w:type="dxa"/>
            <w:vAlign w:val="center"/>
          </w:tcPr>
          <w:p>
            <w:pPr>
              <w:pStyle w:val="13"/>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完善多种用工人员经费管理制度</w:t>
            </w:r>
          </w:p>
        </w:tc>
        <w:tc>
          <w:tcPr>
            <w:tcW w:w="3430" w:type="dxa"/>
            <w:vAlign w:val="center"/>
          </w:tcPr>
          <w:p>
            <w:pPr>
              <w:pStyle w:val="13"/>
            </w:pPr>
            <w:r>
              <w:t>通过多种用工人员经费管理制度或办法的完善情况，反映多种用工人员经费管理工作开展的长效保障效果。</w:t>
            </w:r>
          </w:p>
        </w:tc>
        <w:tc>
          <w:tcPr>
            <w:tcW w:w="2551" w:type="dxa"/>
            <w:vAlign w:val="center"/>
          </w:tcPr>
          <w:p>
            <w:pPr>
              <w:pStyle w:val="13"/>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用工单位对多种用工人员满意度</w:t>
            </w:r>
          </w:p>
        </w:tc>
        <w:tc>
          <w:tcPr>
            <w:tcW w:w="3430" w:type="dxa"/>
            <w:vAlign w:val="center"/>
          </w:tcPr>
          <w:p>
            <w:pPr>
              <w:pStyle w:val="13"/>
            </w:pPr>
            <w:r>
              <w:t>通过用工单位对多种用工人员的考核情况，反映用工单位对多种用工人员的满意度</w:t>
            </w:r>
          </w:p>
        </w:tc>
        <w:tc>
          <w:tcPr>
            <w:tcW w:w="2551" w:type="dxa"/>
            <w:vAlign w:val="center"/>
          </w:tcPr>
          <w:p>
            <w:pPr>
              <w:pStyle w:val="13"/>
            </w:pPr>
            <w:r>
              <w:t>≥85%</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5"/>
  </w:compat>
  <w:rsids>
    <w:rsidRoot w:val="00000000"/>
    <w:rsid w:val="E7AEDD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2026-01-21T00:07:00Z</dcterms:created>
  <dc:creator>kylin</dc:creator>
  <cp:lastModifiedBy>1</cp:lastModifiedBy>
  <dcterms:modified xsi:type="dcterms:W3CDTF">2026-02-09T08:43:46Z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