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  <w:rPr>
          <w:rFonts w:ascii="方正仿宋_GBK" w:hAnsi="方正仿宋_GBK" w:eastAsia="方正仿宋_GBK" w:cs="方正仿宋_GBK"/>
          <w:sz w:val="28"/>
        </w:rPr>
      </w:pP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349</w:t>
            </w:r>
            <w:r>
              <w:rPr>
                <w:rFonts w:hint="eastAsia"/>
                <w:lang w:val="en-US" w:eastAsia="zh-CN"/>
              </w:rPr>
              <w:t>3</w:t>
            </w:r>
            <w:r>
              <w:t>01天津市滨海新区统计</w:t>
            </w:r>
            <w:r>
              <w:rPr>
                <w:rFonts w:hint="eastAsia"/>
                <w:lang w:eastAsia="zh-CN"/>
              </w:rPr>
              <w:t>调查中心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4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3430" w:type="dxa"/>
            <w:vAlign w:val="center"/>
          </w:tcPr>
          <w:p>
            <w:pPr>
              <w:pStyle w:val="14"/>
            </w:pPr>
          </w:p>
        </w:tc>
        <w:tc>
          <w:tcPr>
            <w:tcW w:w="255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3430" w:type="dxa"/>
            <w:vAlign w:val="center"/>
          </w:tcPr>
          <w:p>
            <w:pPr>
              <w:pStyle w:val="14"/>
            </w:pPr>
          </w:p>
        </w:tc>
        <w:tc>
          <w:tcPr>
            <w:tcW w:w="255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3430" w:type="dxa"/>
            <w:vAlign w:val="center"/>
          </w:tcPr>
          <w:p>
            <w:pPr>
              <w:pStyle w:val="14"/>
            </w:pPr>
          </w:p>
        </w:tc>
        <w:tc>
          <w:tcPr>
            <w:tcW w:w="255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3430" w:type="dxa"/>
            <w:vAlign w:val="center"/>
          </w:tcPr>
          <w:p>
            <w:pPr>
              <w:pStyle w:val="14"/>
            </w:pPr>
          </w:p>
        </w:tc>
        <w:tc>
          <w:tcPr>
            <w:tcW w:w="255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3430" w:type="dxa"/>
            <w:vAlign w:val="center"/>
          </w:tcPr>
          <w:p>
            <w:pPr>
              <w:pStyle w:val="14"/>
            </w:pPr>
          </w:p>
        </w:tc>
        <w:tc>
          <w:tcPr>
            <w:tcW w:w="2551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</w:p>
        </w:tc>
        <w:tc>
          <w:tcPr>
            <w:tcW w:w="1332" w:type="dxa"/>
            <w:vAlign w:val="center"/>
          </w:tcPr>
          <w:p>
            <w:pPr>
              <w:pStyle w:val="14"/>
            </w:pPr>
          </w:p>
        </w:tc>
        <w:tc>
          <w:tcPr>
            <w:tcW w:w="3430" w:type="dxa"/>
            <w:vAlign w:val="center"/>
          </w:tcPr>
          <w:p>
            <w:pPr>
              <w:pStyle w:val="14"/>
            </w:pPr>
          </w:p>
        </w:tc>
        <w:tc>
          <w:tcPr>
            <w:tcW w:w="2551" w:type="dxa"/>
            <w:vAlign w:val="center"/>
          </w:tcPr>
          <w:p>
            <w:pPr>
              <w:pStyle w:val="14"/>
            </w:pPr>
          </w:p>
        </w:tc>
      </w:tr>
    </w:tbl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 w:line="240" w:lineRule="auto"/>
        <w:ind w:firstLine="0"/>
        <w:jc w:val="left"/>
        <w:outlineLvl w:val="9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注：本表为空表</w:t>
      </w:r>
    </w:p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FBF01EF"/>
    <w:rsid w:val="4DFFCDA4"/>
    <w:rsid w:val="5BDF688A"/>
    <w:rsid w:val="7FE61BC2"/>
    <w:rsid w:val="CBDE08D0"/>
    <w:rsid w:val="FBBE73DD"/>
    <w:rsid w:val="FFCFA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1"/>
    </w:pPr>
    <w:rPr>
      <w:rFonts w:ascii="Arial" w:hAnsi="Arial" w:eastAsia="方正仿宋_GBK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4">
    <w:name w:val="toc 4"/>
    <w:basedOn w:val="1"/>
    <w:next w:val="1"/>
    <w:qFormat/>
    <w:uiPriority w:val="0"/>
    <w:pPr>
      <w:ind w:left="720"/>
    </w:pPr>
  </w:style>
  <w:style w:type="paragraph" w:styleId="5">
    <w:name w:val="toc 2"/>
    <w:basedOn w:val="1"/>
    <w:next w:val="1"/>
    <w:qFormat/>
    <w:uiPriority w:val="0"/>
    <w:pPr>
      <w:ind w:left="240"/>
    </w:p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2026-01-21T08:07:00Z</dcterms:created>
  <dc:creator>kylin</dc:creator>
  <cp:lastModifiedBy>kylin</cp:lastModifiedBy>
  <dcterms:modified xsi:type="dcterms:W3CDTF">2026-01-27T13:57:23Z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