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滨海新区统计局积极开展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“双随机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、一公开</w:t>
      </w:r>
      <w:r>
        <w:rPr>
          <w:rFonts w:hint="eastAsia" w:ascii="黑体" w:hAnsi="黑体" w:eastAsia="黑体" w:cs="黑体"/>
          <w:sz w:val="44"/>
          <w:szCs w:val="44"/>
        </w:rPr>
        <w:t>”行政执法检查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，为统计数据质量提供坚实保障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进一步做好新区</w:t>
      </w:r>
      <w:r>
        <w:rPr>
          <w:rFonts w:hint="eastAsia" w:ascii="仿宋_GB2312" w:hAnsi="仿宋_GB2312" w:eastAsia="仿宋_GB2312" w:cs="仿宋_GB2312"/>
          <w:sz w:val="34"/>
          <w:szCs w:val="34"/>
        </w:rPr>
        <w:t>统计“双随机”执法工作，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依法保障统计数据质量，我局组织执法人员认真开展统计“双随机”、部门联合“双随机、一公开”抽查检查工作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我局通过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天津市“双随机、一公开”监管工作平台随机抽取企业及检查人员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，制定检查计划。检查工作开展前，制定执法检查通知书发放至联合检查单位及检查对象。检查过程中严格落实“执法三项制度”，主动出示检查证件、对检查过程进行视频记录。同时将执法与业务指导相结合，对企业提出的专业问题进行解答。检查结束后，按照执法工作要求，及时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天津市“双随机、一公开”监管工作平台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上回填检查结果。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auto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4"/>
          <w:szCs w:val="34"/>
          <w:shd w:val="clear" w:color="auto" w:fill="FFFFFF"/>
          <w:lang w:val="en-US" w:eastAsia="zh-CN" w:bidi="ar"/>
        </w:rPr>
        <w:t>截至目前，我局共完成统计“双随机”执法检查39家、部门联合“双随机、一公开”执法检查15家。对在检查中发现的问题，将依法依规进行查处。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7CF62628"/>
    <w:rsid w:val="1E2F2C87"/>
    <w:rsid w:val="32DF1467"/>
    <w:rsid w:val="46475F32"/>
    <w:rsid w:val="60927B2C"/>
    <w:rsid w:val="7CF62628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609</Characters>
  <Lines>0</Lines>
  <Paragraphs>0</Paragraphs>
  <TotalTime>5</TotalTime>
  <ScaleCrop>false</ScaleCrop>
  <LinksUpToDate>false</LinksUpToDate>
  <CharactersWithSpaces>609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2022-10-28T00:49:00Z</dcterms:created>
  <dc:creator>糕糕</dc:creator>
  <cp:lastModifiedBy>糕糕</cp:lastModifiedBy>
  <dcterms:modified xsi:type="dcterms:W3CDTF">2023-10-31T07:03:09Z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8B05E9A1E2F54AA3936D5E70E25821AF_13</vt:lpwstr>
  </property>
</Properties>
</file>