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3" w:firstLineChars="200"/>
        <w:jc w:val="center"/>
        <w:rPr>
          <w:rFonts w:hint="eastAsia" w:ascii="方正小标宋简体" w:eastAsia="方正小标宋简体"/>
          <w:b/>
          <w:sz w:val="44"/>
          <w:szCs w:val="44"/>
        </w:rPr>
      </w:pPr>
    </w:p>
    <w:p>
      <w:pPr>
        <w:spacing w:line="600" w:lineRule="exact"/>
        <w:ind w:firstLine="883" w:firstLineChars="200"/>
        <w:jc w:val="center"/>
        <w:rPr>
          <w:rFonts w:hint="eastAsia" w:ascii="方正小标宋简体" w:eastAsia="方正小标宋简体"/>
          <w:b/>
          <w:sz w:val="44"/>
          <w:szCs w:val="44"/>
        </w:rPr>
      </w:pPr>
    </w:p>
    <w:p>
      <w:pPr>
        <w:spacing w:line="600" w:lineRule="exact"/>
        <w:ind w:firstLine="883" w:firstLineChars="200"/>
        <w:jc w:val="center"/>
        <w:rPr>
          <w:rFonts w:hint="eastAsia" w:ascii="方正小标宋简体" w:eastAsia="方正小标宋简体"/>
          <w:b/>
          <w:sz w:val="44"/>
          <w:szCs w:val="44"/>
        </w:rPr>
      </w:pPr>
    </w:p>
    <w:p>
      <w:pPr>
        <w:spacing w:line="600" w:lineRule="exact"/>
        <w:ind w:firstLine="883" w:firstLineChars="200"/>
        <w:jc w:val="center"/>
        <w:rPr>
          <w:rFonts w:hint="eastAsia" w:ascii="方正小标宋简体" w:eastAsia="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b w:val="0"/>
          <w:bCs/>
          <w:sz w:val="56"/>
          <w:szCs w:val="56"/>
        </w:rPr>
      </w:pPr>
      <w:r>
        <w:rPr>
          <w:rFonts w:hint="eastAsia" w:ascii="方正小标宋简体" w:eastAsia="方正小标宋简体"/>
          <w:b w:val="0"/>
          <w:bCs/>
          <w:sz w:val="56"/>
          <w:szCs w:val="56"/>
        </w:rPr>
        <w:t>滨海新区统计局201</w:t>
      </w:r>
      <w:r>
        <w:rPr>
          <w:rFonts w:hint="eastAsia" w:ascii="方正小标宋简体" w:eastAsia="方正小标宋简体"/>
          <w:b w:val="0"/>
          <w:bCs/>
          <w:sz w:val="56"/>
          <w:szCs w:val="56"/>
          <w:lang w:val="en-US" w:eastAsia="zh-CN"/>
        </w:rPr>
        <w:t>6</w:t>
      </w:r>
      <w:r>
        <w:rPr>
          <w:rFonts w:hint="eastAsia" w:ascii="方正小标宋简体" w:eastAsia="方正小标宋简体"/>
          <w:b w:val="0"/>
          <w:bCs/>
          <w:sz w:val="56"/>
          <w:szCs w:val="56"/>
        </w:rPr>
        <w:t>年</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b w:val="0"/>
          <w:bCs/>
          <w:sz w:val="56"/>
          <w:szCs w:val="56"/>
        </w:rPr>
      </w:pPr>
      <w:r>
        <w:rPr>
          <w:rFonts w:hint="eastAsia" w:ascii="方正小标宋简体" w:eastAsia="方正小标宋简体"/>
          <w:b w:val="0"/>
          <w:bCs/>
          <w:sz w:val="56"/>
          <w:szCs w:val="56"/>
        </w:rPr>
        <w:t>依法行政工作报告</w:t>
      </w:r>
    </w:p>
    <w:p>
      <w:pPr>
        <w:ind w:firstLine="3200" w:firstLineChars="1000"/>
        <w:rPr>
          <w:rFonts w:hint="eastAsia" w:ascii="楷体" w:hAnsi="楷体" w:eastAsia="楷体" w:cs="宋体"/>
          <w:sz w:val="32"/>
          <w:szCs w:val="32"/>
        </w:rPr>
      </w:pPr>
    </w:p>
    <w:p>
      <w:pPr>
        <w:ind w:firstLine="3200" w:firstLineChars="1000"/>
        <w:rPr>
          <w:rFonts w:hint="eastAsia" w:ascii="楷体" w:hAnsi="楷体" w:eastAsia="楷体" w:cs="宋体"/>
          <w:sz w:val="32"/>
          <w:szCs w:val="32"/>
        </w:rPr>
      </w:pPr>
    </w:p>
    <w:p>
      <w:pPr>
        <w:ind w:firstLine="3200" w:firstLineChars="1000"/>
        <w:rPr>
          <w:rFonts w:hint="eastAsia" w:ascii="楷体" w:hAnsi="楷体" w:eastAsia="楷体" w:cs="宋体"/>
          <w:sz w:val="32"/>
          <w:szCs w:val="32"/>
        </w:rPr>
      </w:pPr>
    </w:p>
    <w:p>
      <w:pPr>
        <w:ind w:firstLine="3200" w:firstLineChars="1000"/>
        <w:rPr>
          <w:rFonts w:hint="eastAsia" w:ascii="楷体" w:hAnsi="楷体" w:eastAsia="楷体" w:cs="宋体"/>
          <w:sz w:val="32"/>
          <w:szCs w:val="32"/>
        </w:rPr>
      </w:pPr>
    </w:p>
    <w:p>
      <w:pPr>
        <w:ind w:firstLine="3200" w:firstLineChars="1000"/>
        <w:rPr>
          <w:rFonts w:hint="eastAsia" w:ascii="楷体" w:hAnsi="楷体" w:eastAsia="楷体" w:cs="宋体"/>
          <w:sz w:val="32"/>
          <w:szCs w:val="32"/>
        </w:rPr>
      </w:pPr>
    </w:p>
    <w:p>
      <w:pPr>
        <w:ind w:firstLine="3200" w:firstLineChars="1000"/>
        <w:rPr>
          <w:rFonts w:hint="eastAsia" w:ascii="楷体" w:hAnsi="楷体" w:eastAsia="楷体" w:cs="宋体"/>
          <w:sz w:val="32"/>
          <w:szCs w:val="32"/>
        </w:rPr>
      </w:pPr>
    </w:p>
    <w:p>
      <w:pPr>
        <w:ind w:firstLine="3200" w:firstLineChars="1000"/>
        <w:rPr>
          <w:rFonts w:hint="eastAsia" w:ascii="楷体" w:hAnsi="楷体" w:eastAsia="楷体" w:cs="宋体"/>
          <w:sz w:val="32"/>
          <w:szCs w:val="32"/>
        </w:rPr>
      </w:pPr>
    </w:p>
    <w:p>
      <w:pPr>
        <w:ind w:firstLine="3200" w:firstLineChars="1000"/>
        <w:rPr>
          <w:rFonts w:hint="eastAsia" w:ascii="楷体" w:hAnsi="楷体" w:eastAsia="楷体" w:cs="宋体"/>
          <w:sz w:val="32"/>
          <w:szCs w:val="32"/>
        </w:rPr>
      </w:pPr>
    </w:p>
    <w:p>
      <w:pPr>
        <w:ind w:firstLine="3200" w:firstLineChars="1000"/>
        <w:rPr>
          <w:rFonts w:hint="eastAsia" w:ascii="楷体" w:hAnsi="楷体" w:eastAsia="楷体" w:cs="宋体"/>
          <w:sz w:val="32"/>
          <w:szCs w:val="32"/>
        </w:rPr>
      </w:pPr>
    </w:p>
    <w:p>
      <w:pPr>
        <w:jc w:val="cente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天津市</w:t>
      </w:r>
      <w:r>
        <w:rPr>
          <w:rFonts w:hint="eastAsia" w:ascii="楷体_GB2312" w:hAnsi="楷体_GB2312" w:eastAsia="楷体_GB2312" w:cs="楷体_GB2312"/>
          <w:b w:val="0"/>
          <w:bCs w:val="0"/>
          <w:sz w:val="32"/>
          <w:szCs w:val="32"/>
        </w:rPr>
        <w:t>滨海新区统计局</w:t>
      </w:r>
    </w:p>
    <w:p>
      <w:pPr>
        <w:jc w:val="cente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201</w:t>
      </w:r>
      <w:r>
        <w:rPr>
          <w:rFonts w:hint="eastAsia" w:ascii="楷体_GB2312" w:hAnsi="楷体_GB2312" w:eastAsia="楷体_GB2312" w:cs="楷体_GB2312"/>
          <w:b w:val="0"/>
          <w:bCs w:val="0"/>
          <w:sz w:val="32"/>
          <w:szCs w:val="32"/>
          <w:lang w:val="en-US" w:eastAsia="zh-CN"/>
        </w:rPr>
        <w:t>6</w:t>
      </w:r>
      <w:r>
        <w:rPr>
          <w:rFonts w:hint="eastAsia" w:ascii="楷体_GB2312" w:hAnsi="楷体_GB2312" w:eastAsia="楷体_GB2312" w:cs="楷体_GB2312"/>
          <w:b w:val="0"/>
          <w:bCs w:val="0"/>
          <w:sz w:val="32"/>
          <w:szCs w:val="32"/>
        </w:rPr>
        <w:t>.1</w:t>
      </w:r>
      <w:r>
        <w:rPr>
          <w:rFonts w:hint="eastAsia" w:ascii="楷体_GB2312" w:hAnsi="楷体_GB2312" w:eastAsia="楷体_GB2312" w:cs="楷体_GB2312"/>
          <w:b w:val="0"/>
          <w:bCs w:val="0"/>
          <w:sz w:val="32"/>
          <w:szCs w:val="32"/>
          <w:lang w:val="en-US" w:eastAsia="zh-CN"/>
        </w:rPr>
        <w:t>2</w:t>
      </w:r>
      <w:r>
        <w:rPr>
          <w:rFonts w:hint="eastAsia" w:ascii="楷体_GB2312" w:hAnsi="楷体_GB2312" w:eastAsia="楷体_GB2312" w:cs="楷体_GB2312"/>
          <w:b w:val="0"/>
          <w:bCs w:val="0"/>
          <w:sz w:val="32"/>
          <w:szCs w:val="32"/>
        </w:rPr>
        <w:t>.1</w:t>
      </w:r>
      <w:r>
        <w:rPr>
          <w:rFonts w:hint="eastAsia" w:ascii="楷体_GB2312" w:hAnsi="楷体_GB2312" w:eastAsia="楷体_GB2312" w:cs="楷体_GB2312"/>
          <w:b w:val="0"/>
          <w:bCs w:val="0"/>
          <w:sz w:val="32"/>
          <w:szCs w:val="32"/>
          <w:lang w:val="en-US" w:eastAsia="zh-CN"/>
        </w:rPr>
        <w:t>5</w:t>
      </w:r>
    </w:p>
    <w:p>
      <w:pPr>
        <w:ind w:firstLine="723" w:firstLineChars="200"/>
        <w:jc w:val="center"/>
        <w:rPr>
          <w:rFonts w:hint="eastAsia" w:ascii="黑体" w:eastAsia="黑体"/>
          <w:b/>
          <w:sz w:val="36"/>
          <w:szCs w:val="36"/>
        </w:rPr>
      </w:pPr>
    </w:p>
    <w:p>
      <w:pPr>
        <w:ind w:firstLine="723" w:firstLineChars="200"/>
        <w:jc w:val="center"/>
        <w:rPr>
          <w:rFonts w:hint="eastAsia" w:ascii="黑体" w:eastAsia="黑体"/>
          <w:b/>
          <w:sz w:val="36"/>
          <w:szCs w:val="36"/>
        </w:rPr>
      </w:pPr>
    </w:p>
    <w:p>
      <w:pPr>
        <w:ind w:firstLine="723" w:firstLineChars="200"/>
        <w:jc w:val="center"/>
        <w:rPr>
          <w:rFonts w:hint="eastAsia" w:ascii="黑体" w:eastAsia="黑体"/>
          <w:b/>
          <w:sz w:val="36"/>
          <w:szCs w:val="36"/>
        </w:rPr>
      </w:pPr>
    </w:p>
    <w:p>
      <w:pPr>
        <w:ind w:firstLine="723" w:firstLineChars="200"/>
        <w:jc w:val="center"/>
        <w:rPr>
          <w:rFonts w:hint="eastAsia" w:ascii="黑体" w:eastAsia="黑体"/>
          <w:b/>
          <w:sz w:val="36"/>
          <w:szCs w:val="36"/>
        </w:rPr>
      </w:pPr>
    </w:p>
    <w:p>
      <w:pPr>
        <w:ind w:firstLine="723" w:firstLineChars="200"/>
        <w:jc w:val="center"/>
        <w:rPr>
          <w:rFonts w:hint="eastAsia" w:ascii="黑体" w:eastAsia="黑体"/>
          <w:b/>
          <w:sz w:val="36"/>
          <w:szCs w:val="36"/>
        </w:rPr>
      </w:pPr>
    </w:p>
    <w:p>
      <w:pPr>
        <w:rPr>
          <w:rFonts w:hint="eastAsia" w:eastAsia="仿宋_GB2312" w:cs="宋体"/>
          <w:snapToGrid w:val="0"/>
          <w:kern w:val="0"/>
          <w:sz w:val="32"/>
          <w:szCs w:val="32"/>
          <w:lang w:val="en-US" w:eastAsia="zh-CN"/>
        </w:rPr>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pPr>
    </w:p>
    <w:p>
      <w:pPr>
        <w:rPr>
          <w:rFonts w:hint="eastAsia" w:eastAsia="仿宋_GB2312" w:cs="宋体"/>
          <w:snapToGrid w:val="0"/>
          <w:kern w:val="0"/>
          <w:sz w:val="32"/>
          <w:szCs w:val="32"/>
          <w:lang w:val="en-US" w:eastAsia="zh-CN"/>
        </w:rPr>
      </w:pPr>
      <w:r>
        <w:rPr>
          <w:rFonts w:hint="eastAsia" w:eastAsia="仿宋_GB2312" w:cs="宋体"/>
          <w:snapToGrid w:val="0"/>
          <w:kern w:val="0"/>
          <w:sz w:val="32"/>
          <w:szCs w:val="32"/>
          <w:lang w:val="en-US" w:eastAsia="zh-CN"/>
        </w:rPr>
        <w:t xml:space="preserve">    </w:t>
      </w: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sectPr>
          <w:footerReference r:id="rId5" w:type="default"/>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滨海新区统计局201</w:t>
      </w:r>
      <w:r>
        <w:rPr>
          <w:rFonts w:hint="eastAsia" w:ascii="方正小标宋简体" w:hAnsi="方正小标宋简体" w:eastAsia="方正小标宋简体" w:cs="方正小标宋简体"/>
          <w:b w:val="0"/>
          <w:bCs/>
          <w:sz w:val="44"/>
          <w:szCs w:val="44"/>
          <w:lang w:val="en-US" w:eastAsia="zh-CN"/>
        </w:rPr>
        <w:t>6</w:t>
      </w:r>
      <w:r>
        <w:rPr>
          <w:rFonts w:hint="eastAsia" w:ascii="方正小标宋简体" w:hAnsi="方正小标宋简体" w:eastAsia="方正小标宋简体" w:cs="方正小标宋简体"/>
          <w:b w:val="0"/>
          <w:bCs/>
          <w:sz w:val="44"/>
          <w:szCs w:val="44"/>
        </w:rPr>
        <w:t>年依法行政工作报告</w:t>
      </w:r>
    </w:p>
    <w:p>
      <w:pPr>
        <w:rPr>
          <w:rFonts w:hint="eastAsia" w:eastAsia="仿宋_GB2312" w:cs="宋体"/>
          <w:snapToGrid w:val="0"/>
          <w:kern w:val="0"/>
          <w:sz w:val="32"/>
          <w:szCs w:val="32"/>
          <w:lang w:val="en-US" w:eastAsia="zh-CN"/>
        </w:rPr>
      </w:pPr>
    </w:p>
    <w:p>
      <w:pPr>
        <w:rPr>
          <w:rFonts w:eastAsia="仿宋_GB2312" w:cs="宋体"/>
          <w:snapToGrid w:val="0"/>
          <w:kern w:val="0"/>
          <w:sz w:val="32"/>
          <w:szCs w:val="32"/>
        </w:rPr>
      </w:pPr>
      <w:r>
        <w:rPr>
          <w:rFonts w:hint="eastAsia" w:eastAsia="仿宋_GB2312" w:cs="宋体"/>
          <w:snapToGrid w:val="0"/>
          <w:kern w:val="0"/>
          <w:sz w:val="32"/>
          <w:szCs w:val="32"/>
          <w:lang w:val="en-US" w:eastAsia="zh-CN"/>
        </w:rPr>
        <w:t xml:space="preserve">    </w:t>
      </w:r>
      <w:r>
        <w:rPr>
          <w:rFonts w:hint="eastAsia" w:eastAsia="仿宋_GB2312" w:cs="宋体"/>
          <w:snapToGrid w:val="0"/>
          <w:kern w:val="0"/>
          <w:sz w:val="32"/>
          <w:szCs w:val="32"/>
        </w:rPr>
        <w:t>201</w:t>
      </w:r>
      <w:r>
        <w:rPr>
          <w:rFonts w:hint="eastAsia" w:eastAsia="仿宋_GB2312" w:cs="宋体"/>
          <w:snapToGrid w:val="0"/>
          <w:kern w:val="0"/>
          <w:sz w:val="32"/>
          <w:szCs w:val="32"/>
          <w:lang w:val="en-US" w:eastAsia="zh-CN"/>
        </w:rPr>
        <w:t>6</w:t>
      </w:r>
      <w:r>
        <w:rPr>
          <w:rFonts w:hint="eastAsia" w:eastAsia="仿宋_GB2312" w:cs="宋体"/>
          <w:snapToGrid w:val="0"/>
          <w:kern w:val="0"/>
          <w:sz w:val="32"/>
          <w:szCs w:val="32"/>
        </w:rPr>
        <w:t>年，新区统计局全面贯彻落实《天津市依法行政考核办法》及《滨海新区201</w:t>
      </w:r>
      <w:r>
        <w:rPr>
          <w:rFonts w:hint="eastAsia" w:eastAsia="仿宋_GB2312" w:cs="宋体"/>
          <w:snapToGrid w:val="0"/>
          <w:kern w:val="0"/>
          <w:sz w:val="32"/>
          <w:szCs w:val="32"/>
          <w:lang w:val="en-US" w:eastAsia="zh-CN"/>
        </w:rPr>
        <w:t>6</w:t>
      </w:r>
      <w:r>
        <w:rPr>
          <w:rFonts w:hint="eastAsia" w:eastAsia="仿宋_GB2312" w:cs="宋体"/>
          <w:snapToGrid w:val="0"/>
          <w:kern w:val="0"/>
          <w:sz w:val="32"/>
          <w:szCs w:val="32"/>
        </w:rPr>
        <w:t>年度依法行政考核标准》文件精神，以推行权责清单、</w:t>
      </w:r>
      <w:r>
        <w:rPr>
          <w:rFonts w:hint="eastAsia" w:eastAsia="仿宋_GB2312" w:cs="宋体"/>
          <w:snapToGrid w:val="0"/>
          <w:kern w:val="0"/>
          <w:sz w:val="32"/>
          <w:szCs w:val="32"/>
          <w:lang w:val="en-US" w:eastAsia="zh-CN"/>
        </w:rPr>
        <w:t>依法全面履行职能</w:t>
      </w:r>
      <w:r>
        <w:rPr>
          <w:rFonts w:hint="eastAsia" w:eastAsia="仿宋_GB2312" w:cs="宋体"/>
          <w:snapToGrid w:val="0"/>
          <w:kern w:val="0"/>
          <w:sz w:val="32"/>
          <w:szCs w:val="32"/>
        </w:rPr>
        <w:t>为重点，以</w:t>
      </w:r>
      <w:r>
        <w:rPr>
          <w:rFonts w:hint="eastAsia" w:eastAsia="仿宋_GB2312" w:cs="宋体"/>
          <w:snapToGrid w:val="0"/>
          <w:kern w:val="0"/>
          <w:sz w:val="32"/>
          <w:szCs w:val="32"/>
          <w:lang w:val="en-US" w:eastAsia="zh-CN"/>
        </w:rPr>
        <w:t>严格规范公正文明执法</w:t>
      </w:r>
      <w:r>
        <w:rPr>
          <w:rFonts w:hint="eastAsia" w:eastAsia="仿宋_GB2312" w:cs="宋体"/>
          <w:snapToGrid w:val="0"/>
          <w:kern w:val="0"/>
          <w:sz w:val="32"/>
          <w:szCs w:val="32"/>
        </w:rPr>
        <w:t>、</w:t>
      </w:r>
      <w:r>
        <w:rPr>
          <w:rFonts w:hint="eastAsia" w:eastAsia="仿宋_GB2312" w:cs="宋体"/>
          <w:snapToGrid w:val="0"/>
          <w:kern w:val="0"/>
          <w:sz w:val="32"/>
          <w:szCs w:val="32"/>
          <w:lang w:val="en-US" w:eastAsia="zh-CN"/>
        </w:rPr>
        <w:t>全面推进政府信息公开</w:t>
      </w:r>
      <w:r>
        <w:rPr>
          <w:rFonts w:hint="eastAsia" w:eastAsia="仿宋_GB2312" w:cs="宋体"/>
          <w:snapToGrid w:val="0"/>
          <w:kern w:val="0"/>
          <w:sz w:val="32"/>
          <w:szCs w:val="32"/>
        </w:rPr>
        <w:t>为推动，</w:t>
      </w:r>
      <w:r>
        <w:rPr>
          <w:rFonts w:hint="eastAsia" w:eastAsia="仿宋_GB2312" w:cs="宋体"/>
          <w:snapToGrid w:val="0"/>
          <w:kern w:val="0"/>
          <w:sz w:val="32"/>
          <w:szCs w:val="32"/>
          <w:lang w:val="en-US" w:eastAsia="zh-CN"/>
        </w:rPr>
        <w:t>强化对行政权力的制约和监督，全面提高本单位工作人员的法治思维和依法行政能力。</w:t>
      </w:r>
      <w:r>
        <w:rPr>
          <w:rFonts w:hint="eastAsia" w:eastAsia="仿宋_GB2312" w:cs="宋体"/>
          <w:snapToGrid w:val="0"/>
          <w:kern w:val="0"/>
          <w:sz w:val="32"/>
          <w:szCs w:val="32"/>
        </w:rPr>
        <w:t>坚持依法统计，充分发挥统计法律法规对日常行政工作的保障作用，切实加强统计执法工作，努力提高法制宣传的实际效果。使统计依法行政工作在改善统计工作环境，维护统计工作秩序，保障统计数据质量等方面发挥了良好作用，较好地完成了全年统计依法行政工作任务。</w:t>
      </w:r>
    </w:p>
    <w:p>
      <w:pPr>
        <w:ind w:firstLine="640" w:firstLineChars="200"/>
        <w:rPr>
          <w:rFonts w:ascii="黑体" w:eastAsia="黑体" w:cs="宋体"/>
          <w:sz w:val="32"/>
          <w:szCs w:val="32"/>
        </w:rPr>
      </w:pPr>
      <w:r>
        <w:rPr>
          <w:rFonts w:hint="eastAsia" w:ascii="黑体" w:eastAsia="黑体"/>
          <w:sz w:val="32"/>
          <w:szCs w:val="32"/>
        </w:rPr>
        <w:t>一、201</w:t>
      </w:r>
      <w:r>
        <w:rPr>
          <w:rFonts w:hint="eastAsia" w:ascii="黑体" w:eastAsia="黑体"/>
          <w:sz w:val="32"/>
          <w:szCs w:val="32"/>
          <w:lang w:val="en-US" w:eastAsia="zh-CN"/>
        </w:rPr>
        <w:t>6</w:t>
      </w:r>
      <w:r>
        <w:rPr>
          <w:rFonts w:hint="eastAsia" w:ascii="黑体" w:eastAsia="黑体"/>
          <w:sz w:val="32"/>
          <w:szCs w:val="32"/>
        </w:rPr>
        <w:t>年依法行政工作开展情况</w:t>
      </w:r>
    </w:p>
    <w:p>
      <w:pPr>
        <w:numPr>
          <w:ilvl w:val="0"/>
          <w:numId w:val="1"/>
        </w:numPr>
        <w:ind w:firstLine="482" w:firstLineChars="150"/>
        <w:jc w:val="left"/>
        <w:rPr>
          <w:rFonts w:hint="eastAsia" w:eastAsia="仿宋_GB2312" w:cs="宋体"/>
          <w:b/>
          <w:snapToGrid w:val="0"/>
          <w:kern w:val="0"/>
          <w:sz w:val="32"/>
          <w:szCs w:val="32"/>
          <w:lang w:val="en-US" w:eastAsia="zh-CN"/>
        </w:rPr>
      </w:pPr>
      <w:r>
        <w:rPr>
          <w:rFonts w:hint="eastAsia" w:eastAsia="仿宋_GB2312" w:cs="宋体"/>
          <w:b/>
          <w:snapToGrid w:val="0"/>
          <w:kern w:val="0"/>
          <w:sz w:val="32"/>
          <w:szCs w:val="32"/>
        </w:rPr>
        <w:t>、大力推行权力清单、责任清单制度建设，认真进行权责</w:t>
      </w:r>
      <w:r>
        <w:rPr>
          <w:rFonts w:hint="eastAsia" w:eastAsia="仿宋_GB2312" w:cs="宋体"/>
          <w:b/>
          <w:snapToGrid w:val="0"/>
          <w:kern w:val="0"/>
          <w:sz w:val="32"/>
          <w:szCs w:val="32"/>
          <w:lang w:val="en-US" w:eastAsia="zh-CN"/>
        </w:rPr>
        <w:t>清单动态管理</w:t>
      </w:r>
    </w:p>
    <w:p>
      <w:pPr>
        <w:numPr>
          <w:ilvl w:val="0"/>
          <w:numId w:val="0"/>
        </w:numPr>
        <w:ind w:firstLine="640"/>
        <w:jc w:val="left"/>
        <w:rPr>
          <w:rFonts w:hint="eastAsia" w:eastAsia="仿宋_GB2312" w:cs="宋体"/>
          <w:snapToGrid w:val="0"/>
          <w:kern w:val="0"/>
          <w:sz w:val="32"/>
          <w:szCs w:val="32"/>
          <w:lang w:val="en-US" w:eastAsia="zh-CN"/>
        </w:rPr>
      </w:pPr>
      <w:r>
        <w:rPr>
          <w:rFonts w:hint="eastAsia" w:eastAsia="仿宋_GB2312" w:cs="宋体"/>
          <w:snapToGrid w:val="0"/>
          <w:kern w:val="0"/>
          <w:sz w:val="32"/>
          <w:szCs w:val="32"/>
        </w:rPr>
        <w:t>根据</w:t>
      </w:r>
      <w:r>
        <w:rPr>
          <w:rFonts w:hint="eastAsia" w:eastAsia="仿宋_GB2312" w:cs="宋体"/>
          <w:snapToGrid w:val="0"/>
          <w:kern w:val="0"/>
          <w:sz w:val="32"/>
          <w:szCs w:val="32"/>
          <w:lang w:eastAsia="zh-CN"/>
        </w:rPr>
        <w:t>《</w:t>
      </w:r>
      <w:r>
        <w:rPr>
          <w:rFonts w:hint="eastAsia" w:eastAsia="仿宋_GB2312" w:cs="宋体"/>
          <w:snapToGrid w:val="0"/>
          <w:kern w:val="0"/>
          <w:sz w:val="32"/>
          <w:szCs w:val="32"/>
          <w:lang w:val="en-US" w:eastAsia="zh-CN"/>
        </w:rPr>
        <w:t>天津市政府工作部门权责清单动态管理办法</w:t>
      </w:r>
      <w:r>
        <w:rPr>
          <w:rFonts w:hint="eastAsia" w:eastAsia="仿宋_GB2312" w:cs="宋体"/>
          <w:snapToGrid w:val="0"/>
          <w:kern w:val="0"/>
          <w:sz w:val="32"/>
          <w:szCs w:val="32"/>
          <w:lang w:eastAsia="zh-CN"/>
        </w:rPr>
        <w:t>》</w:t>
      </w:r>
      <w:r>
        <w:rPr>
          <w:rFonts w:hint="eastAsia" w:eastAsia="仿宋_GB2312" w:cs="宋体"/>
          <w:snapToGrid w:val="0"/>
          <w:kern w:val="0"/>
          <w:sz w:val="32"/>
          <w:szCs w:val="32"/>
          <w:lang w:val="en-US" w:eastAsia="zh-CN"/>
        </w:rPr>
        <w:t>的要求，今年以来，我局严格依据相关法律、法规及规范性文件的调整变动情况，及时向区编办提出权责清单动态调整申请，截止到目前，共提出4项权责取消申请及1项权责修改申请，将调整项目及调整依据通过申请表的方式报送区编办进行审核。</w:t>
      </w:r>
    </w:p>
    <w:p>
      <w:pPr>
        <w:numPr>
          <w:ilvl w:val="0"/>
          <w:numId w:val="1"/>
        </w:numPr>
        <w:ind w:firstLine="640" w:firstLineChars="150"/>
        <w:jc w:val="left"/>
        <w:rPr>
          <w:rFonts w:hint="eastAsia" w:eastAsia="仿宋_GB2312" w:cs="宋体"/>
          <w:b/>
          <w:bCs/>
          <w:snapToGrid w:val="0"/>
          <w:kern w:val="0"/>
          <w:sz w:val="32"/>
          <w:szCs w:val="32"/>
          <w:lang w:val="en-US" w:eastAsia="zh-CN"/>
        </w:rPr>
      </w:pPr>
      <w:r>
        <w:rPr>
          <w:rFonts w:hint="eastAsia" w:eastAsia="仿宋_GB2312" w:cs="宋体"/>
          <w:b/>
          <w:bCs/>
          <w:snapToGrid w:val="0"/>
          <w:kern w:val="0"/>
          <w:sz w:val="32"/>
          <w:szCs w:val="32"/>
          <w:lang w:val="en-US" w:eastAsia="zh-CN"/>
        </w:rPr>
        <w:t>、全面履行法定职责，认真完成履职计划</w:t>
      </w:r>
    </w:p>
    <w:p>
      <w:pPr>
        <w:numPr>
          <w:ilvl w:val="0"/>
          <w:numId w:val="0"/>
        </w:numPr>
        <w:ind w:firstLine="640"/>
        <w:jc w:val="left"/>
        <w:rPr>
          <w:rFonts w:hint="eastAsia" w:eastAsia="仿宋_GB2312" w:cs="宋体"/>
          <w:snapToGrid w:val="0"/>
          <w:kern w:val="0"/>
          <w:sz w:val="32"/>
          <w:szCs w:val="32"/>
          <w:lang w:val="en-US" w:eastAsia="zh-CN"/>
        </w:rPr>
      </w:pPr>
      <w:r>
        <w:rPr>
          <w:rFonts w:hint="eastAsia" w:eastAsia="仿宋_GB2312" w:cs="宋体"/>
          <w:snapToGrid w:val="0"/>
          <w:kern w:val="0"/>
          <w:sz w:val="32"/>
          <w:szCs w:val="32"/>
          <w:lang w:val="en-US" w:eastAsia="zh-CN"/>
        </w:rPr>
        <w:t>1、认真做好职权分类梳理工作。为认真做好行政执法监督工作，我局认真对行政执法监督平台上的执法职权进行核定，确保与我局的权责清单对应统一。目前，我局执法监督平台共有执法职权24项，均与我局权责清单相对应。</w:t>
      </w:r>
    </w:p>
    <w:p>
      <w:pPr>
        <w:ind w:firstLine="640" w:firstLineChars="200"/>
        <w:rPr>
          <w:rFonts w:hint="eastAsia" w:eastAsia="仿宋_GB2312" w:cs="宋体"/>
          <w:snapToGrid w:val="0"/>
          <w:kern w:val="0"/>
          <w:sz w:val="32"/>
          <w:szCs w:val="32"/>
          <w:lang w:val="en-US" w:eastAsia="zh-CN"/>
        </w:rPr>
      </w:pPr>
      <w:r>
        <w:rPr>
          <w:rFonts w:hint="eastAsia" w:eastAsia="仿宋_GB2312" w:cs="宋体"/>
          <w:snapToGrid w:val="0"/>
          <w:kern w:val="0"/>
          <w:sz w:val="32"/>
          <w:szCs w:val="32"/>
          <w:lang w:val="en-US" w:eastAsia="zh-CN"/>
        </w:rPr>
        <w:t>2、认真做好上一年度依法行政考核整改落实工作，认真落实法律顾问制度。2016年，我局对上一年度依法行政工作中没有单独聘用法律顾问这一问题引起了高度的重视，今年，我局成立独立党组后，局领导班子高度重视此项工作，依据新区政府《关于推行政府法律顾问制度的实施意见》要求，积极聘请天津滨海律师事务所担任我局常年法律顾问，负责参与我局重大行政决策的合法性论证、规范性文件法律审核备案、重要事项、重大突发事件的法律论证、重要合同、协议的审查、代理诉讼和非诉法律事务等相关工作。进一步提升了我局依法行政、依法统计水平，加强和维护了统计法律法规的严肃性，促进了我局依法行政工作的不断深入。</w:t>
      </w:r>
    </w:p>
    <w:p>
      <w:pPr>
        <w:ind w:firstLine="640" w:firstLineChars="200"/>
        <w:rPr>
          <w:rFonts w:hint="eastAsia" w:eastAsia="仿宋_GB2312" w:cs="宋体"/>
          <w:snapToGrid w:val="0"/>
          <w:kern w:val="0"/>
          <w:sz w:val="32"/>
          <w:szCs w:val="32"/>
          <w:lang w:val="en-US" w:eastAsia="zh-CN"/>
        </w:rPr>
      </w:pPr>
      <w:r>
        <w:rPr>
          <w:rFonts w:hint="eastAsia" w:eastAsia="仿宋_GB2312" w:cs="宋体"/>
          <w:snapToGrid w:val="0"/>
          <w:kern w:val="0"/>
          <w:sz w:val="32"/>
          <w:szCs w:val="32"/>
          <w:lang w:val="en-US" w:eastAsia="zh-CN"/>
        </w:rPr>
        <w:t>3、认真制定年度履职计划并认真组织实施。今年以来，我局在履职工作中积极依托新区行政执法监督平台规定的执法职权，周密制定履职计划并通过平台进行发布，利用统计行政执法检查等工作手段，认真履行职责。除非普查年度不应履行的11项职责外，我局共履行13项职责，履职率100%，圆满完成了本年度的履职计划。</w:t>
      </w:r>
    </w:p>
    <w:p>
      <w:pPr>
        <w:ind w:firstLine="640" w:firstLineChars="200"/>
        <w:rPr>
          <w:rFonts w:hint="eastAsia" w:eastAsia="仿宋_GB2312" w:cs="宋体"/>
          <w:b/>
          <w:bCs/>
          <w:snapToGrid w:val="0"/>
          <w:kern w:val="0"/>
          <w:sz w:val="32"/>
          <w:szCs w:val="32"/>
          <w:lang w:val="en-US" w:eastAsia="zh-CN"/>
        </w:rPr>
      </w:pPr>
      <w:r>
        <w:rPr>
          <w:rFonts w:hint="eastAsia" w:eastAsia="仿宋_GB2312" w:cs="宋体"/>
          <w:b/>
          <w:bCs/>
          <w:snapToGrid w:val="0"/>
          <w:kern w:val="0"/>
          <w:sz w:val="32"/>
          <w:szCs w:val="32"/>
          <w:lang w:val="en-US" w:eastAsia="zh-CN"/>
        </w:rPr>
        <w:t>（三）、积极完善依法行政制度体系，认真落实规范性文件管理制度</w:t>
      </w:r>
    </w:p>
    <w:p>
      <w:pPr>
        <w:ind w:firstLine="640" w:firstLineChars="200"/>
        <w:rPr>
          <w:rFonts w:hint="eastAsia" w:eastAsia="仿宋_GB2312" w:cs="宋体"/>
          <w:snapToGrid w:val="0"/>
          <w:kern w:val="0"/>
          <w:sz w:val="32"/>
          <w:szCs w:val="32"/>
          <w:lang w:val="en-US" w:eastAsia="zh-CN"/>
        </w:rPr>
      </w:pPr>
      <w:r>
        <w:rPr>
          <w:rFonts w:hint="eastAsia" w:eastAsia="仿宋_GB2312" w:cs="宋体"/>
          <w:snapToGrid w:val="0"/>
          <w:kern w:val="0"/>
          <w:sz w:val="32"/>
          <w:szCs w:val="32"/>
          <w:lang w:val="en-US" w:eastAsia="zh-CN"/>
        </w:rPr>
        <w:t>今年以来，我局按照市统计局及新区政府相关要求，积极对法律法规规章的征求意见进行反馈。严格按照《天津市行政规范性文件管理规定》的要求，规范和清理本单位的规范性文件，全年没有发生违反规定的现象。</w:t>
      </w:r>
    </w:p>
    <w:p>
      <w:pPr>
        <w:numPr>
          <w:ilvl w:val="0"/>
          <w:numId w:val="0"/>
        </w:numPr>
        <w:rPr>
          <w:rFonts w:hint="eastAsia" w:eastAsia="仿宋_GB2312" w:cs="宋体"/>
          <w:b/>
          <w:bCs/>
          <w:snapToGrid w:val="0"/>
          <w:kern w:val="0"/>
          <w:sz w:val="32"/>
          <w:szCs w:val="32"/>
          <w:lang w:val="en-US" w:eastAsia="zh-CN"/>
        </w:rPr>
      </w:pPr>
      <w:r>
        <w:rPr>
          <w:rFonts w:hint="eastAsia" w:eastAsia="仿宋_GB2312" w:cs="宋体"/>
          <w:snapToGrid w:val="0"/>
          <w:kern w:val="0"/>
          <w:sz w:val="32"/>
          <w:szCs w:val="32"/>
          <w:lang w:val="en-US" w:eastAsia="zh-CN"/>
        </w:rPr>
        <w:t xml:space="preserve">    </w:t>
      </w:r>
      <w:r>
        <w:rPr>
          <w:rFonts w:hint="eastAsia" w:eastAsia="仿宋_GB2312" w:cs="宋体"/>
          <w:b/>
          <w:bCs/>
          <w:snapToGrid w:val="0"/>
          <w:kern w:val="0"/>
          <w:sz w:val="32"/>
          <w:szCs w:val="32"/>
          <w:lang w:val="en-US" w:eastAsia="zh-CN"/>
        </w:rPr>
        <w:t>（四）、严格规范公正文明执法</w:t>
      </w:r>
    </w:p>
    <w:p>
      <w:pPr>
        <w:numPr>
          <w:ilvl w:val="0"/>
          <w:numId w:val="0"/>
        </w:numPr>
        <w:ind w:firstLine="640"/>
        <w:rPr>
          <w:rFonts w:hint="eastAsia" w:eastAsia="仿宋_GB2312" w:cs="宋体"/>
          <w:snapToGrid w:val="0"/>
          <w:kern w:val="0"/>
          <w:sz w:val="32"/>
          <w:szCs w:val="32"/>
          <w:lang w:val="en-US" w:eastAsia="zh-CN"/>
        </w:rPr>
      </w:pPr>
      <w:r>
        <w:rPr>
          <w:rFonts w:hint="eastAsia" w:eastAsia="仿宋_GB2312" w:cs="宋体"/>
          <w:snapToGrid w:val="0"/>
          <w:kern w:val="0"/>
          <w:sz w:val="32"/>
          <w:szCs w:val="32"/>
          <w:lang w:val="en-US" w:eastAsia="zh-CN"/>
        </w:rPr>
        <w:t>1、努力加强我局行政执法人员持证上岗和业务素质培训工作。今年以来，</w:t>
      </w:r>
      <w:bookmarkStart w:id="0" w:name="_GoBack"/>
      <w:r>
        <w:rPr>
          <w:rFonts w:hint="eastAsia" w:eastAsia="仿宋_GB2312" w:cs="宋体"/>
          <w:snapToGrid w:val="0"/>
          <w:kern w:val="0"/>
          <w:sz w:val="32"/>
          <w:szCs w:val="32"/>
          <w:lang w:val="en-US" w:eastAsia="zh-CN"/>
        </w:rPr>
        <w:t>我局严格按照区法制办的要求，认真对行政执法人员资质进行清理，对不符合行政执法要求的人员，不再安排参与今年的统计行政执法活动，并及时在新区行政执法监督平台对执法人员基础信息进行了更新，确保了执法人员信息的准确和完整。经过清理，我局现有行政执法人员（含街镇统计行政执法人员）85人，均已申请参加法制办组织的执法人员培训考试。</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eastAsia="仿宋_GB2312" w:cs="宋体"/>
          <w:snapToGrid w:val="0"/>
          <w:kern w:val="0"/>
          <w:sz w:val="32"/>
          <w:szCs w:val="32"/>
          <w:lang w:val="en-US" w:eastAsia="zh-CN"/>
        </w:rPr>
      </w:pPr>
      <w:r>
        <w:rPr>
          <w:rFonts w:hint="eastAsia" w:eastAsia="仿宋_GB2312" w:cs="宋体"/>
          <w:snapToGrid w:val="0"/>
          <w:kern w:val="0"/>
          <w:sz w:val="32"/>
          <w:szCs w:val="32"/>
          <w:lang w:val="en-US" w:eastAsia="zh-CN"/>
        </w:rPr>
        <w:t>为全面提升我局统计执法检查人员的业务素质，除积极参加区法制办组织的行政法相关业务培训外，我局还专程邀请市统计局执法大队，召开统计执法专项培训会，进行统计行政执法业务及行政执法监督业务培训，确保每位执法人员都能够熟练掌握所需统计执法业务知识，顺利开展统计执法检查工作。</w:t>
      </w:r>
    </w:p>
    <w:bookmarkEnd w:id="0"/>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eastAsia="仿宋_GB2312" w:cs="宋体"/>
          <w:snapToGrid w:val="0"/>
          <w:kern w:val="0"/>
          <w:sz w:val="32"/>
          <w:szCs w:val="32"/>
          <w:lang w:val="en-US" w:eastAsia="zh-CN"/>
        </w:rPr>
      </w:pPr>
      <w:r>
        <w:rPr>
          <w:rFonts w:hint="eastAsia" w:eastAsia="仿宋_GB2312" w:cs="宋体"/>
          <w:snapToGrid w:val="0"/>
          <w:kern w:val="0"/>
          <w:sz w:val="32"/>
          <w:szCs w:val="32"/>
          <w:lang w:val="en-US" w:eastAsia="zh-CN"/>
        </w:rPr>
        <w:t>2、努力加强行政执法规范化建设，依法依规进行统计执法检查工作。为了扎实做好2016年统计执法检查工作，我局制定了《滨海新区统计局2016年统计执法检查工作方案》，对执法检查内容、注意事项、检查步骤、归档要求等进行了严格的规范。要求相关处室执法人员严格按照方案的要求，确保了执法检查工作的顺利进行。</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eastAsia="仿宋_GB2312" w:cs="宋体"/>
          <w:snapToGrid w:val="0"/>
          <w:kern w:val="0"/>
          <w:sz w:val="32"/>
          <w:szCs w:val="32"/>
          <w:lang w:val="en-US" w:eastAsia="zh-CN"/>
        </w:rPr>
      </w:pPr>
      <w:r>
        <w:rPr>
          <w:rFonts w:hint="eastAsia" w:eastAsia="仿宋_GB2312" w:cs="宋体"/>
          <w:snapToGrid w:val="0"/>
          <w:kern w:val="0"/>
          <w:sz w:val="32"/>
          <w:szCs w:val="32"/>
          <w:lang w:val="en-US" w:eastAsia="zh-CN"/>
        </w:rPr>
        <w:t>3、加强执法监督工作力度，认真提高检查案卷质量。在整个执法检查期间，我局充分利用滨海新区行政执法监督平台和监督设备，对整个执法过程进行网上实时监督和规范，对执法工作中形成的案卷，实行“谁检查、谁负责”，落实责任到人，确保了检查案卷的合法、合规。</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eastAsia="仿宋_GB2312" w:cs="宋体"/>
          <w:snapToGrid w:val="0"/>
          <w:kern w:val="0"/>
          <w:sz w:val="32"/>
          <w:szCs w:val="32"/>
          <w:lang w:val="en-US" w:eastAsia="zh-CN"/>
        </w:rPr>
      </w:pPr>
      <w:r>
        <w:rPr>
          <w:rFonts w:hint="eastAsia" w:eastAsia="仿宋_GB2312" w:cs="宋体"/>
          <w:snapToGrid w:val="0"/>
          <w:kern w:val="0"/>
          <w:sz w:val="32"/>
          <w:szCs w:val="32"/>
          <w:lang w:val="en-US" w:eastAsia="zh-CN"/>
        </w:rPr>
        <w:t>2016年，我局共派出198人次，对94家统计“一套表”单位进行了现场执法检查。其中，按照随机抽取被检查单位、随机派出检查人员的方式，对33家单位进行了“双随机”检查，取得了良好的效果。全部检查案卷经审核后，均上传到滨海新区行政执法监督平台，并通过了新区法制办组织的案卷评审工作。</w:t>
      </w:r>
    </w:p>
    <w:p>
      <w:pPr>
        <w:keepNext w:val="0"/>
        <w:keepLines w:val="0"/>
        <w:pageBreakBefore w:val="0"/>
        <w:widowControl/>
        <w:numPr>
          <w:ilvl w:val="0"/>
          <w:numId w:val="2"/>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eastAsia="仿宋_GB2312" w:cs="宋体"/>
          <w:b/>
          <w:bCs/>
          <w:snapToGrid w:val="0"/>
          <w:kern w:val="0"/>
          <w:sz w:val="32"/>
          <w:szCs w:val="32"/>
          <w:lang w:val="en-US" w:eastAsia="zh-CN"/>
        </w:rPr>
      </w:pPr>
      <w:r>
        <w:rPr>
          <w:rFonts w:hint="eastAsia" w:eastAsia="仿宋_GB2312" w:cs="宋体"/>
          <w:b/>
          <w:bCs/>
          <w:snapToGrid w:val="0"/>
          <w:kern w:val="0"/>
          <w:sz w:val="32"/>
          <w:szCs w:val="32"/>
          <w:lang w:val="en-US" w:eastAsia="zh-CN"/>
        </w:rPr>
        <w:t>、严格落实政府信息公开制度，全面推进政府信息公开工作</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right="0" w:rightChars="0" w:firstLine="640"/>
        <w:jc w:val="both"/>
        <w:textAlignment w:val="auto"/>
        <w:outlineLvl w:val="9"/>
        <w:rPr>
          <w:rFonts w:hint="eastAsia" w:eastAsia="仿宋_GB2312" w:cs="宋体"/>
          <w:snapToGrid w:val="0"/>
          <w:kern w:val="0"/>
          <w:sz w:val="32"/>
          <w:szCs w:val="32"/>
          <w:lang w:val="en-US" w:eastAsia="zh-CN"/>
        </w:rPr>
      </w:pPr>
      <w:r>
        <w:rPr>
          <w:rFonts w:hint="eastAsia" w:eastAsia="仿宋_GB2312" w:cs="宋体"/>
          <w:snapToGrid w:val="0"/>
          <w:kern w:val="0"/>
          <w:sz w:val="32"/>
          <w:szCs w:val="32"/>
          <w:lang w:val="en-US" w:eastAsia="zh-CN"/>
        </w:rPr>
        <w:t>1、严格按照《政府信息公开条例》要求，做好信息主动公开工作。今年，我局认真加强政府信息公开工作，在新区政务网主动公开信息170篇。并根据“三定”方案，对我局及下属处室的工作职责，通过新区政务网和滨海新区统计信息网向全社会进行了公开。</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right="0" w:rightChars="0" w:firstLine="640"/>
        <w:jc w:val="both"/>
        <w:textAlignment w:val="auto"/>
        <w:outlineLvl w:val="9"/>
        <w:rPr>
          <w:rFonts w:hint="eastAsia" w:eastAsia="仿宋_GB2312" w:cs="宋体"/>
          <w:snapToGrid w:val="0"/>
          <w:kern w:val="0"/>
          <w:sz w:val="32"/>
          <w:szCs w:val="32"/>
          <w:lang w:val="en-US" w:eastAsia="zh-CN"/>
        </w:rPr>
      </w:pPr>
      <w:r>
        <w:rPr>
          <w:rFonts w:hint="eastAsia" w:eastAsia="仿宋_GB2312" w:cs="宋体"/>
          <w:snapToGrid w:val="0"/>
          <w:kern w:val="0"/>
          <w:sz w:val="32"/>
          <w:szCs w:val="32"/>
          <w:lang w:val="en-US" w:eastAsia="zh-CN"/>
        </w:rPr>
        <w:t>2、依法依规做好依申请信息公开工作。今年以来，我局认真做好依申请信息公开工作，严格按照相关法律法规的要求，对申请内容进行审查和处理，并在规定时限内给予答复。截止到目前，我局已依申请对6人次进行了受理、审查、处理及答复。</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right="0" w:rightChars="0" w:firstLine="640"/>
        <w:jc w:val="both"/>
        <w:textAlignment w:val="auto"/>
        <w:outlineLvl w:val="9"/>
        <w:rPr>
          <w:rFonts w:hint="eastAsia" w:eastAsia="仿宋_GB2312" w:cs="宋体"/>
          <w:snapToGrid w:val="0"/>
          <w:kern w:val="0"/>
          <w:sz w:val="32"/>
          <w:szCs w:val="32"/>
          <w:lang w:val="en-US" w:eastAsia="zh-CN"/>
        </w:rPr>
      </w:pPr>
      <w:r>
        <w:rPr>
          <w:rFonts w:hint="eastAsia" w:eastAsia="仿宋_GB2312" w:cs="宋体"/>
          <w:snapToGrid w:val="0"/>
          <w:kern w:val="0"/>
          <w:sz w:val="32"/>
          <w:szCs w:val="32"/>
          <w:lang w:val="en-US" w:eastAsia="zh-CN"/>
        </w:rPr>
        <w:t>3、加强法治政府建设宣传。按照区法制办制定的法治信息报送要求，我局在按时报送法制政府建设相关信息的同时，积极通过滨海新区统计信息网向社会公众宣传我局依法行政工作情况。截止到目前，我局共报送法治信息12条。</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right="0" w:rightChars="0" w:firstLine="640"/>
        <w:jc w:val="both"/>
        <w:textAlignment w:val="auto"/>
        <w:outlineLvl w:val="9"/>
        <w:rPr>
          <w:rFonts w:hint="eastAsia" w:eastAsia="仿宋_GB2312" w:cs="宋体"/>
          <w:b/>
          <w:bCs/>
          <w:snapToGrid w:val="0"/>
          <w:kern w:val="0"/>
          <w:sz w:val="32"/>
          <w:szCs w:val="32"/>
          <w:lang w:val="en-US" w:eastAsia="zh-CN"/>
        </w:rPr>
      </w:pPr>
      <w:r>
        <w:rPr>
          <w:rFonts w:hint="eastAsia" w:eastAsia="仿宋_GB2312" w:cs="宋体"/>
          <w:b/>
          <w:bCs/>
          <w:snapToGrid w:val="0"/>
          <w:kern w:val="0"/>
          <w:sz w:val="32"/>
          <w:szCs w:val="32"/>
          <w:lang w:val="en-US" w:eastAsia="zh-CN"/>
        </w:rPr>
        <w:t>（六）、积极加强对行政权力的制约和监督工作</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right="0" w:rightChars="0" w:firstLine="640"/>
        <w:jc w:val="both"/>
        <w:textAlignment w:val="auto"/>
        <w:outlineLvl w:val="9"/>
        <w:rPr>
          <w:rFonts w:hint="eastAsia" w:eastAsia="仿宋_GB2312" w:cs="宋体"/>
          <w:snapToGrid w:val="0"/>
          <w:kern w:val="0"/>
          <w:sz w:val="32"/>
          <w:szCs w:val="32"/>
          <w:lang w:val="en-US" w:eastAsia="zh-CN"/>
        </w:rPr>
      </w:pPr>
      <w:r>
        <w:rPr>
          <w:rFonts w:hint="eastAsia" w:eastAsia="仿宋_GB2312" w:cs="宋体"/>
          <w:snapToGrid w:val="0"/>
          <w:kern w:val="0"/>
          <w:sz w:val="32"/>
          <w:szCs w:val="32"/>
          <w:lang w:val="en-US" w:eastAsia="zh-CN"/>
        </w:rPr>
        <w:t>1、主动对统计行政执法检查情况进行监督。按照我局《2016年统计行政执法检查工作计划》要求，今年8月至9月统计执法检查工作期间，我局专职统计执法监督人员对执法检查工作开展情况进行了全程监督，对全部执法检查案卷及执法监督平台上传情况逐项进行评查，确保执法检查工作的合法合规。</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right="0" w:rightChars="0" w:firstLine="640"/>
        <w:jc w:val="both"/>
        <w:textAlignment w:val="auto"/>
        <w:outlineLvl w:val="9"/>
        <w:rPr>
          <w:rFonts w:hint="eastAsia" w:eastAsia="仿宋_GB2312" w:cs="宋体"/>
          <w:snapToGrid w:val="0"/>
          <w:kern w:val="0"/>
          <w:sz w:val="32"/>
          <w:szCs w:val="32"/>
          <w:lang w:val="en-US" w:eastAsia="zh-CN"/>
        </w:rPr>
      </w:pPr>
      <w:r>
        <w:rPr>
          <w:rFonts w:hint="eastAsia" w:eastAsia="仿宋_GB2312" w:cs="宋体"/>
          <w:snapToGrid w:val="0"/>
          <w:kern w:val="0"/>
          <w:sz w:val="32"/>
          <w:szCs w:val="32"/>
          <w:lang w:val="en-US" w:eastAsia="zh-CN"/>
        </w:rPr>
        <w:t>2、严格落实平台建设各项工作任务，确保平台正常运行。为进一步完善我局分平台建设工作，我局专职执法监督人员结合实际工作情况，向局里提出多项工作建议，经局领导研究后，及时为分平台物理场所配置和改造了电视支架、执法设备专用保管柜、专用桌椅等设备，确保了分平台的良好运行。</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right="0" w:rightChars="0" w:firstLine="640"/>
        <w:jc w:val="both"/>
        <w:textAlignment w:val="auto"/>
        <w:outlineLvl w:val="9"/>
        <w:rPr>
          <w:rFonts w:hint="eastAsia" w:eastAsia="仿宋_GB2312" w:cs="宋体"/>
          <w:snapToGrid w:val="0"/>
          <w:kern w:val="0"/>
          <w:sz w:val="32"/>
          <w:szCs w:val="32"/>
          <w:lang w:val="en-US" w:eastAsia="zh-CN"/>
        </w:rPr>
      </w:pPr>
      <w:r>
        <w:rPr>
          <w:rFonts w:hint="eastAsia" w:eastAsia="仿宋_GB2312" w:cs="宋体"/>
          <w:snapToGrid w:val="0"/>
          <w:kern w:val="0"/>
          <w:sz w:val="32"/>
          <w:szCs w:val="32"/>
          <w:lang w:val="en-US" w:eastAsia="zh-CN"/>
        </w:rPr>
        <w:t>3、认真规范“三重一大”决策工作，不断完善决策程序和议事规则。今年以来，我局对重大决策、干部任免、重要项目安排和大额资金使用等重大问题始终坚持集体领导，在重大问题上充分发扬民主，认真听取每一名班子成员的意见和建议，杜绝了个人决断或简化、变通决策程序问题的发生。</w:t>
      </w:r>
    </w:p>
    <w:p>
      <w:pPr>
        <w:widowControl/>
        <w:spacing w:line="336" w:lineRule="auto"/>
        <w:ind w:firstLine="640" w:firstLineChars="200"/>
        <w:rPr>
          <w:rFonts w:ascii="黑体" w:eastAsia="黑体" w:cs="宋体"/>
          <w:kern w:val="0"/>
          <w:sz w:val="32"/>
          <w:szCs w:val="32"/>
        </w:rPr>
      </w:pPr>
      <w:r>
        <w:rPr>
          <w:rFonts w:hint="eastAsia" w:ascii="黑体" w:eastAsia="黑体"/>
          <w:sz w:val="32"/>
          <w:szCs w:val="32"/>
        </w:rPr>
        <w:t>二、201</w:t>
      </w:r>
      <w:r>
        <w:rPr>
          <w:rFonts w:hint="eastAsia" w:ascii="黑体" w:eastAsia="黑体"/>
          <w:sz w:val="32"/>
          <w:szCs w:val="32"/>
          <w:lang w:val="en-US" w:eastAsia="zh-CN"/>
        </w:rPr>
        <w:t>7</w:t>
      </w:r>
      <w:r>
        <w:rPr>
          <w:rFonts w:hint="eastAsia" w:ascii="黑体" w:eastAsia="黑体"/>
          <w:sz w:val="32"/>
          <w:szCs w:val="32"/>
        </w:rPr>
        <w:t>年依法行政工作思路</w:t>
      </w:r>
    </w:p>
    <w:p>
      <w:pPr>
        <w:spacing w:line="600" w:lineRule="exact"/>
        <w:ind w:firstLine="640" w:firstLineChars="200"/>
        <w:rPr>
          <w:rFonts w:ascii="仿宋_GB2312" w:hAnsi="仿宋_GB2312" w:eastAsia="仿宋_GB2312" w:cs="仿宋_GB2312"/>
          <w:sz w:val="32"/>
          <w:szCs w:val="32"/>
        </w:rPr>
      </w:pPr>
      <w:r>
        <w:rPr>
          <w:rFonts w:hint="eastAsia" w:ascii="仿宋_GB2312" w:hAnsi="华文中宋" w:eastAsia="仿宋_GB2312"/>
          <w:sz w:val="32"/>
          <w:szCs w:val="32"/>
        </w:rPr>
        <w:t>201</w:t>
      </w:r>
      <w:r>
        <w:rPr>
          <w:rFonts w:hint="eastAsia" w:ascii="仿宋_GB2312" w:hAnsi="华文中宋" w:eastAsia="仿宋_GB2312"/>
          <w:sz w:val="32"/>
          <w:szCs w:val="32"/>
          <w:lang w:val="en-US" w:eastAsia="zh-CN"/>
        </w:rPr>
        <w:t>7</w:t>
      </w:r>
      <w:r>
        <w:rPr>
          <w:rFonts w:hint="eastAsia" w:ascii="仿宋_GB2312" w:hAnsi="华文中宋" w:eastAsia="仿宋_GB2312"/>
          <w:sz w:val="32"/>
          <w:szCs w:val="32"/>
        </w:rPr>
        <w:t>年</w:t>
      </w:r>
      <w:r>
        <w:rPr>
          <w:rFonts w:hint="eastAsia" w:ascii="仿宋_GB2312" w:hAnsi="华文中宋" w:eastAsia="仿宋_GB2312"/>
          <w:sz w:val="32"/>
          <w:szCs w:val="32"/>
          <w:lang w:eastAsia="zh-CN"/>
        </w:rPr>
        <w:t>，</w:t>
      </w:r>
      <w:r>
        <w:rPr>
          <w:rFonts w:hint="eastAsia" w:ascii="仿宋_GB2312" w:hAnsi="华文中宋" w:eastAsia="仿宋_GB2312"/>
          <w:sz w:val="32"/>
          <w:szCs w:val="32"/>
          <w:lang w:val="en-US" w:eastAsia="zh-CN"/>
        </w:rPr>
        <w:t>随着</w:t>
      </w:r>
      <w:r>
        <w:rPr>
          <w:rFonts w:hint="eastAsia" w:ascii="仿宋_GB2312" w:hAnsi="华文中宋" w:eastAsia="仿宋_GB2312"/>
          <w:sz w:val="32"/>
          <w:szCs w:val="32"/>
        </w:rPr>
        <w:t>“十三五”规划</w:t>
      </w:r>
      <w:r>
        <w:rPr>
          <w:rFonts w:hint="eastAsia" w:ascii="仿宋_GB2312" w:hAnsi="华文中宋" w:eastAsia="仿宋_GB2312"/>
          <w:sz w:val="32"/>
          <w:szCs w:val="32"/>
          <w:lang w:val="en-US" w:eastAsia="zh-CN"/>
        </w:rPr>
        <w:t>和“七五”普法工作</w:t>
      </w:r>
      <w:r>
        <w:rPr>
          <w:rFonts w:hint="eastAsia" w:ascii="仿宋_GB2312" w:hAnsi="华文中宋" w:eastAsia="仿宋_GB2312"/>
          <w:sz w:val="32"/>
          <w:szCs w:val="32"/>
        </w:rPr>
        <w:t>的</w:t>
      </w:r>
      <w:r>
        <w:rPr>
          <w:rFonts w:hint="eastAsia" w:ascii="仿宋_GB2312" w:hAnsi="华文中宋" w:eastAsia="仿宋_GB2312"/>
          <w:sz w:val="32"/>
          <w:szCs w:val="32"/>
          <w:lang w:val="en-US" w:eastAsia="zh-CN"/>
        </w:rPr>
        <w:t>顺利展开</w:t>
      </w:r>
      <w:r>
        <w:rPr>
          <w:rFonts w:hint="eastAsia" w:ascii="仿宋_GB2312" w:hAnsi="华文中宋" w:eastAsia="仿宋_GB2312"/>
          <w:sz w:val="32"/>
          <w:szCs w:val="32"/>
        </w:rPr>
        <w:t>，新区统计工作将</w:t>
      </w:r>
      <w:r>
        <w:rPr>
          <w:rFonts w:hint="eastAsia" w:ascii="仿宋_GB2312" w:eastAsia="仿宋_GB2312"/>
          <w:color w:val="333333"/>
          <w:sz w:val="32"/>
          <w:szCs w:val="32"/>
        </w:rPr>
        <w:t>全面贯彻党十八届</w:t>
      </w:r>
      <w:r>
        <w:rPr>
          <w:rFonts w:hint="eastAsia" w:ascii="仿宋_GB2312" w:eastAsia="仿宋_GB2312"/>
          <w:color w:val="333333"/>
          <w:sz w:val="32"/>
          <w:szCs w:val="32"/>
          <w:lang w:val="en-US" w:eastAsia="zh-CN"/>
        </w:rPr>
        <w:t>六</w:t>
      </w:r>
      <w:r>
        <w:rPr>
          <w:rFonts w:hint="eastAsia" w:ascii="仿宋_GB2312" w:eastAsia="仿宋_GB2312"/>
          <w:color w:val="333333"/>
          <w:sz w:val="32"/>
          <w:szCs w:val="32"/>
        </w:rPr>
        <w:t>中全会和市委、区委全会精神，</w:t>
      </w:r>
      <w:r>
        <w:rPr>
          <w:rFonts w:hint="eastAsia" w:ascii="仿宋_GB2312" w:hAnsi="仿宋_GB2312" w:eastAsia="仿宋_GB2312" w:cs="仿宋_GB2312"/>
          <w:sz w:val="32"/>
          <w:szCs w:val="32"/>
        </w:rPr>
        <w:t>全面</w:t>
      </w:r>
      <w:r>
        <w:rPr>
          <w:rFonts w:ascii="仿宋_GB2312" w:hAnsi="仿宋_GB2312" w:eastAsia="仿宋_GB2312" w:cs="仿宋_GB2312"/>
          <w:sz w:val="32"/>
          <w:szCs w:val="32"/>
        </w:rPr>
        <w:t>落实</w:t>
      </w:r>
      <w:r>
        <w:rPr>
          <w:rFonts w:hint="eastAsia" w:ascii="仿宋_GB2312" w:hAnsi="仿宋_GB2312" w:eastAsia="仿宋_GB2312" w:cs="仿宋_GB2312"/>
          <w:sz w:val="32"/>
          <w:szCs w:val="32"/>
        </w:rPr>
        <w:t>天津市统计局和</w:t>
      </w:r>
      <w:r>
        <w:rPr>
          <w:rFonts w:hint="eastAsia" w:ascii="仿宋_GB2312" w:eastAsia="仿宋_GB2312"/>
          <w:sz w:val="32"/>
          <w:szCs w:val="32"/>
        </w:rPr>
        <w:t>区委、区政府的各项部署和要求，进</w:t>
      </w:r>
      <w:r>
        <w:rPr>
          <w:rFonts w:ascii="仿宋_GB2312" w:eastAsia="仿宋_GB2312"/>
          <w:sz w:val="32"/>
          <w:szCs w:val="32"/>
        </w:rPr>
        <w:t>一步</w:t>
      </w:r>
      <w:r>
        <w:rPr>
          <w:rFonts w:hint="eastAsia" w:ascii="仿宋_GB2312" w:eastAsia="仿宋_GB2312"/>
          <w:sz w:val="32"/>
          <w:szCs w:val="32"/>
        </w:rPr>
        <w:t>增强大局意识、忧患意识和责任意识，进一步适应经济发</w:t>
      </w:r>
      <w:r>
        <w:rPr>
          <w:rFonts w:ascii="仿宋_GB2312" w:eastAsia="仿宋_GB2312"/>
          <w:sz w:val="32"/>
          <w:szCs w:val="32"/>
        </w:rPr>
        <w:t>展</w:t>
      </w:r>
      <w:r>
        <w:rPr>
          <w:rFonts w:hint="eastAsia" w:ascii="仿宋_GB2312" w:eastAsia="仿宋_GB2312"/>
          <w:sz w:val="32"/>
          <w:szCs w:val="32"/>
        </w:rPr>
        <w:t>新常态，坚持依法统计，推进统计改革，创新统计手段，提升统计服务，</w:t>
      </w:r>
      <w:r>
        <w:rPr>
          <w:rFonts w:hint="eastAsia" w:ascii="仿宋_GB2312" w:eastAsia="仿宋_GB2312"/>
          <w:sz w:val="32"/>
          <w:szCs w:val="32"/>
          <w:lang w:val="en-US" w:eastAsia="zh-CN"/>
        </w:rPr>
        <w:t>更好地做好</w:t>
      </w:r>
      <w:r>
        <w:rPr>
          <w:rFonts w:hint="eastAsia" w:ascii="仿宋_GB2312" w:hAnsi="华文中宋" w:eastAsia="仿宋_GB2312"/>
          <w:sz w:val="32"/>
          <w:szCs w:val="32"/>
          <w:lang w:val="en-US" w:eastAsia="zh-CN"/>
        </w:rPr>
        <w:t>我局依法行政工作</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（一）严格落实政府统计权责事项，依法行政、依法统计。强化统计</w:t>
      </w:r>
      <w:r>
        <w:rPr>
          <w:rFonts w:hint="eastAsia" w:ascii="仿宋_GB2312" w:hAnsi="仿宋_GB2312" w:eastAsia="仿宋_GB2312" w:cs="仿宋_GB2312"/>
          <w:sz w:val="32"/>
          <w:szCs w:val="32"/>
          <w:lang w:val="en-US" w:eastAsia="zh-CN"/>
        </w:rPr>
        <w:t>行政</w:t>
      </w:r>
      <w:r>
        <w:rPr>
          <w:rFonts w:hint="eastAsia" w:ascii="仿宋_GB2312" w:hAnsi="仿宋_GB2312" w:eastAsia="仿宋_GB2312" w:cs="仿宋_GB2312"/>
          <w:sz w:val="32"/>
          <w:szCs w:val="32"/>
        </w:rPr>
        <w:t>执法监督</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，按照市</w:t>
      </w:r>
      <w:r>
        <w:rPr>
          <w:rFonts w:hint="eastAsia" w:ascii="仿宋_GB2312" w:hAnsi="仿宋_GB2312" w:eastAsia="仿宋_GB2312" w:cs="仿宋_GB2312"/>
          <w:sz w:val="32"/>
          <w:szCs w:val="32"/>
          <w:lang w:val="en-US" w:eastAsia="zh-CN"/>
        </w:rPr>
        <w:t>统计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和新区政府</w:t>
      </w:r>
      <w:r>
        <w:rPr>
          <w:rFonts w:hint="eastAsia" w:ascii="仿宋_GB2312" w:hAnsi="仿宋_GB2312" w:eastAsia="仿宋_GB2312" w:cs="仿宋_GB2312"/>
          <w:sz w:val="32"/>
          <w:szCs w:val="32"/>
        </w:rPr>
        <w:t>要求依法依规</w:t>
      </w:r>
      <w:r>
        <w:rPr>
          <w:rFonts w:hint="eastAsia" w:ascii="仿宋_GB2312" w:hAnsi="仿宋_GB2312" w:eastAsia="仿宋_GB2312" w:cs="仿宋_GB2312"/>
          <w:sz w:val="32"/>
          <w:szCs w:val="32"/>
          <w:lang w:val="en-US" w:eastAsia="zh-CN"/>
        </w:rPr>
        <w:t>做好</w:t>
      </w:r>
      <w:r>
        <w:rPr>
          <w:rFonts w:hint="eastAsia" w:ascii="仿宋_GB2312" w:hAnsi="仿宋_GB2312" w:eastAsia="仿宋_GB2312" w:cs="仿宋_GB2312"/>
          <w:sz w:val="32"/>
          <w:szCs w:val="32"/>
        </w:rPr>
        <w:t>统计</w:t>
      </w:r>
      <w:r>
        <w:rPr>
          <w:rFonts w:hint="eastAsia" w:ascii="仿宋_GB2312" w:hAnsi="仿宋_GB2312" w:eastAsia="仿宋_GB2312" w:cs="仿宋_GB2312"/>
          <w:sz w:val="32"/>
          <w:szCs w:val="32"/>
          <w:lang w:val="en-US" w:eastAsia="zh-CN"/>
        </w:rPr>
        <w:t>行政</w:t>
      </w:r>
      <w:r>
        <w:rPr>
          <w:rFonts w:hint="eastAsia" w:ascii="仿宋_GB2312" w:hAnsi="仿宋_GB2312" w:eastAsia="仿宋_GB2312" w:cs="仿宋_GB2312"/>
          <w:sz w:val="32"/>
          <w:szCs w:val="32"/>
        </w:rPr>
        <w:t>执法检查工作。</w:t>
      </w:r>
    </w:p>
    <w:p>
      <w:pPr>
        <w:spacing w:line="600" w:lineRule="exact"/>
        <w:ind w:firstLine="645"/>
        <w:rPr>
          <w:rFonts w:hint="eastAsia" w:ascii="仿宋_GB2312" w:eastAsia="仿宋_GB2312"/>
          <w:sz w:val="32"/>
          <w:szCs w:val="32"/>
          <w:lang w:val="en-US" w:eastAsia="zh-CN"/>
        </w:rPr>
      </w:pPr>
      <w:r>
        <w:rPr>
          <w:rFonts w:hint="eastAsia" w:ascii="仿宋_GB2312" w:eastAsia="仿宋_GB2312"/>
          <w:sz w:val="32"/>
          <w:szCs w:val="32"/>
        </w:rPr>
        <w:t>(二)</w:t>
      </w:r>
      <w:r>
        <w:rPr>
          <w:rFonts w:hint="eastAsia" w:ascii="仿宋_GB2312" w:eastAsia="仿宋_GB2312"/>
          <w:sz w:val="32"/>
          <w:szCs w:val="32"/>
          <w:lang w:val="en-US" w:eastAsia="zh-CN"/>
        </w:rPr>
        <w:t>进一步提升履职能力，全面履行法定职责，认真制定履职计划，保质保量完成全年履职任务。</w:t>
      </w:r>
    </w:p>
    <w:p>
      <w:pPr>
        <w:spacing w:line="600" w:lineRule="exact"/>
        <w:ind w:firstLine="645"/>
        <w:rPr>
          <w:rFonts w:hint="eastAsia" w:ascii="仿宋_GB2312" w:eastAsia="仿宋_GB2312"/>
          <w:sz w:val="32"/>
          <w:szCs w:val="32"/>
          <w:lang w:val="en-US" w:eastAsia="zh-CN"/>
        </w:rPr>
      </w:pPr>
      <w:r>
        <w:rPr>
          <w:rFonts w:hint="eastAsia" w:ascii="仿宋_GB2312" w:eastAsia="仿宋_GB2312"/>
          <w:sz w:val="32"/>
          <w:szCs w:val="32"/>
        </w:rPr>
        <w:t>（三）</w:t>
      </w:r>
      <w:r>
        <w:rPr>
          <w:rFonts w:hint="eastAsia" w:ascii="仿宋_GB2312" w:eastAsia="仿宋_GB2312"/>
          <w:sz w:val="32"/>
          <w:szCs w:val="32"/>
          <w:lang w:val="en-US" w:eastAsia="zh-CN"/>
        </w:rPr>
        <w:t>认真完成好统计行政执法工作任务，严格规范执法行为，做到执法工作依法依规，执法案卷合乎规范，执法事项全部纳入到新区执法监督平台中。</w:t>
      </w:r>
    </w:p>
    <w:p>
      <w:pPr>
        <w:spacing w:line="600" w:lineRule="exact"/>
        <w:ind w:firstLine="645"/>
        <w:rPr>
          <w:rFonts w:hint="eastAsia" w:ascii="仿宋_GB2312" w:eastAsia="仿宋_GB2312"/>
          <w:sz w:val="32"/>
          <w:szCs w:val="32"/>
          <w:lang w:val="en-US" w:eastAsia="zh-CN"/>
        </w:rPr>
      </w:pPr>
      <w:r>
        <w:rPr>
          <w:rFonts w:hint="eastAsia" w:ascii="仿宋_GB2312" w:eastAsia="仿宋_GB2312"/>
          <w:sz w:val="32"/>
          <w:szCs w:val="32"/>
        </w:rPr>
        <w:t>（四）</w:t>
      </w:r>
      <w:r>
        <w:rPr>
          <w:rFonts w:hint="eastAsia" w:ascii="仿宋_GB2312" w:eastAsia="仿宋_GB2312"/>
          <w:sz w:val="32"/>
          <w:szCs w:val="32"/>
          <w:lang w:val="en-US" w:eastAsia="zh-CN"/>
        </w:rPr>
        <w:t>认真落实好政府信息公开制度，积极做好信息主动公开及依申请信息公开工作，积极通过网络等媒体向社会公众进行法制政府建设宣传。</w:t>
      </w:r>
    </w:p>
    <w:p>
      <w:pPr>
        <w:ind w:firstLine="614" w:firstLineChars="192"/>
        <w:rPr>
          <w:rFonts w:ascii="仿宋_GB2312" w:eastAsia="仿宋_GB2312" w:cs="宋体"/>
          <w:sz w:val="32"/>
          <w:szCs w:val="32"/>
        </w:rPr>
      </w:pPr>
      <w:r>
        <w:rPr>
          <w:rFonts w:hint="eastAsia" w:ascii="仿宋_GB2312" w:eastAsia="仿宋_GB2312"/>
          <w:sz w:val="32"/>
          <w:szCs w:val="32"/>
        </w:rPr>
        <w:t>（五）</w:t>
      </w:r>
      <w:r>
        <w:rPr>
          <w:rFonts w:hint="eastAsia" w:ascii="仿宋_GB2312" w:eastAsia="仿宋_GB2312"/>
          <w:sz w:val="32"/>
          <w:szCs w:val="32"/>
          <w:lang w:val="en-US" w:eastAsia="zh-CN"/>
        </w:rPr>
        <w:t>加强对统计行政执法工作的监督检查，完善部门审计机制，积极配合审计机关做好审计监督。进一步完善对行政权力的制约和监督工作，</w:t>
      </w:r>
    </w:p>
    <w:sectPr>
      <w:footerReference r:id="rId6"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Courier New">
    <w:panose1 w:val="02070309020205020404"/>
    <w:charset w:val="00"/>
    <w:family w:val="swiss"/>
    <w:pitch w:val="default"/>
    <w:sig w:usb0="E0002E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rPr>
                            <w:t>1</w:t>
                          </w:r>
                          <w:r>
                            <w:rPr>
                              <w:rFonts w:hint="eastAsia" w:ascii="宋体" w:hAnsi="宋体" w:eastAsia="宋体" w:cs="宋体"/>
                              <w:sz w:val="32"/>
                              <w:szCs w:val="32"/>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rPr>
                      <w:t>1</w:t>
                    </w:r>
                    <w:r>
                      <w:rPr>
                        <w:rFonts w:hint="eastAsia" w:ascii="宋体" w:hAnsi="宋体" w:eastAsia="宋体" w:cs="宋体"/>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left" w:pos="7018"/>
      </w:tabs>
      <w:jc w:val="left"/>
      <w:rPr>
        <w:rFonts w:hint="eastAsia" w:eastAsia="宋体"/>
        <w:lang w:eastAsia="zh-CN"/>
      </w:rPr>
    </w:pP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BB241"/>
    <w:multiLevelType w:val="singleLevel"/>
    <w:tmpl w:val="582BB241"/>
    <w:lvl w:ilvl="0" w:tentative="0">
      <w:start w:val="1"/>
      <w:numFmt w:val="chineseCounting"/>
      <w:suff w:val="nothing"/>
      <w:lvlText w:val="（%1）"/>
      <w:lvlJc w:val="left"/>
    </w:lvl>
  </w:abstractNum>
  <w:abstractNum w:abstractNumId="1">
    <w:nsid w:val="582BF64B"/>
    <w:multiLevelType w:val="singleLevel"/>
    <w:tmpl w:val="582BF64B"/>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F8"/>
    <w:rsid w:val="00065D0D"/>
    <w:rsid w:val="000B20F1"/>
    <w:rsid w:val="000D62A9"/>
    <w:rsid w:val="001942D4"/>
    <w:rsid w:val="00197A85"/>
    <w:rsid w:val="001B63B5"/>
    <w:rsid w:val="001C712A"/>
    <w:rsid w:val="001E015A"/>
    <w:rsid w:val="00280EE1"/>
    <w:rsid w:val="002D25F6"/>
    <w:rsid w:val="00316C81"/>
    <w:rsid w:val="0034692E"/>
    <w:rsid w:val="004244F8"/>
    <w:rsid w:val="004A2DE3"/>
    <w:rsid w:val="00513479"/>
    <w:rsid w:val="00594509"/>
    <w:rsid w:val="00596D71"/>
    <w:rsid w:val="005A7B48"/>
    <w:rsid w:val="005D7686"/>
    <w:rsid w:val="006118A4"/>
    <w:rsid w:val="006279E2"/>
    <w:rsid w:val="007316C2"/>
    <w:rsid w:val="00776295"/>
    <w:rsid w:val="007864DF"/>
    <w:rsid w:val="00792FB7"/>
    <w:rsid w:val="00820C86"/>
    <w:rsid w:val="00854360"/>
    <w:rsid w:val="00857A56"/>
    <w:rsid w:val="00876ECF"/>
    <w:rsid w:val="00885E28"/>
    <w:rsid w:val="008C5418"/>
    <w:rsid w:val="00913C5B"/>
    <w:rsid w:val="009705E1"/>
    <w:rsid w:val="0098608C"/>
    <w:rsid w:val="00993D49"/>
    <w:rsid w:val="009A2416"/>
    <w:rsid w:val="009C647B"/>
    <w:rsid w:val="009C723F"/>
    <w:rsid w:val="009F21EA"/>
    <w:rsid w:val="009F3B97"/>
    <w:rsid w:val="00A050BE"/>
    <w:rsid w:val="00A100BD"/>
    <w:rsid w:val="00A75906"/>
    <w:rsid w:val="00AF30F7"/>
    <w:rsid w:val="00B337F6"/>
    <w:rsid w:val="00B72D2E"/>
    <w:rsid w:val="00BB37A2"/>
    <w:rsid w:val="00C94C8B"/>
    <w:rsid w:val="00D225C8"/>
    <w:rsid w:val="00DC0410"/>
    <w:rsid w:val="00E01EA7"/>
    <w:rsid w:val="00E57A7A"/>
    <w:rsid w:val="00E8625C"/>
    <w:rsid w:val="00EF5EF4"/>
    <w:rsid w:val="00F52FB8"/>
    <w:rsid w:val="00F56BC1"/>
    <w:rsid w:val="00F7639F"/>
    <w:rsid w:val="00FB43B6"/>
    <w:rsid w:val="00FB6603"/>
    <w:rsid w:val="00FD2100"/>
    <w:rsid w:val="059C7F54"/>
    <w:rsid w:val="2416339F"/>
    <w:rsid w:val="2E1567AF"/>
    <w:rsid w:val="32182F2B"/>
    <w:rsid w:val="34CB73FA"/>
    <w:rsid w:val="433D282A"/>
    <w:rsid w:val="4ECF3FDA"/>
    <w:rsid w:val="50F92A06"/>
    <w:rsid w:val="532D1589"/>
    <w:rsid w:val="5B502AD7"/>
    <w:rsid w:val="6E294BCD"/>
    <w:rsid w:val="75084A4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pPr>
  </w:style>
  <w:style w:type="paragraph" w:styleId="3">
    <w:name w:val="Plain Text"/>
    <w:basedOn w:val="1"/>
    <w:qFormat/>
    <w:uiPriority w:val="0"/>
    <w:rPr>
      <w:rFonts w:ascii="宋体" w:cs="Courier New"/>
      <w:szCs w:val="21"/>
    </w:rPr>
  </w:style>
  <w:style w:type="paragraph" w:styleId="4">
    <w:name w:val="Date"/>
    <w:basedOn w:val="1"/>
    <w:next w:val="1"/>
    <w:qFormat/>
    <w:uiPriority w:val="0"/>
    <w:pPr>
      <w:ind w:left="2500" w:leftChars="2500"/>
    </w:pPr>
  </w:style>
  <w:style w:type="paragraph" w:styleId="5">
    <w:name w:val="Body Text Indent 2"/>
    <w:basedOn w:val="1"/>
    <w:uiPriority w:val="0"/>
    <w:pPr>
      <w:ind w:firstLine="200" w:firstLineChars="200"/>
    </w:pPr>
    <w:rPr>
      <w:rFonts w:ascii="仿宋_GB2312" w:eastAsia="仿宋_GB2312"/>
      <w:b/>
      <w:bCs/>
      <w:color w:val="000000"/>
      <w:sz w:val="32"/>
      <w:szCs w:val="28"/>
      <w:lang w:val="zh-CN"/>
    </w:rPr>
  </w:style>
  <w:style w:type="paragraph" w:styleId="6">
    <w:name w:val="Balloon Text"/>
    <w:basedOn w:val="1"/>
    <w:semiHidden/>
    <w:qFormat/>
    <w:uiPriority w:val="0"/>
    <w:rPr>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ind w:firstLine="209" w:firstLineChars="209"/>
    </w:pPr>
    <w:rPr>
      <w:rFonts w:ascii="仿宋_GB2312" w:eastAsia="仿宋_GB2312"/>
      <w:color w:val="000000"/>
      <w:sz w:val="30"/>
      <w:szCs w:val="32"/>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2">
    <w:name w:val="Emphasis"/>
    <w:basedOn w:val="11"/>
    <w:qFormat/>
    <w:uiPriority w:val="20"/>
    <w:rPr>
      <w:i/>
      <w:iCs/>
    </w:rPr>
  </w:style>
  <w:style w:type="character" w:styleId="13">
    <w:name w:val="HTML Typewriter"/>
    <w:qFormat/>
    <w:uiPriority w:val="0"/>
    <w:rPr>
      <w:rFonts w:ascii="黑体" w:eastAsia="黑体" w:cs="Courier New"/>
      <w:sz w:val="20"/>
      <w:szCs w:val="20"/>
      <w:lang w:bidi="ar-SA"/>
    </w:rPr>
  </w:style>
  <w:style w:type="paragraph" w:customStyle="1" w:styleId="15">
    <w:name w:val="Char"/>
    <w:basedOn w:val="1"/>
    <w:qFormat/>
    <w:uiPriority w:val="0"/>
    <w:rPr>
      <w:rFonts w:ascii="Tahoma" w:hAnsi="Tahoma"/>
      <w:sz w:val="24"/>
      <w:szCs w:val="20"/>
    </w:rPr>
  </w:style>
  <w:style w:type="paragraph" w:customStyle="1" w:styleId="16">
    <w:name w:val="List Paragraph"/>
    <w:basedOn w:val="1"/>
    <w:qFormat/>
    <w:uiPriority w:val="34"/>
    <w:pPr>
      <w:ind w:firstLine="420" w:firstLineChars="200"/>
    </w:pPr>
  </w:style>
  <w:style w:type="paragraph" w:customStyle="1" w:styleId="17">
    <w:name w:val="Char1"/>
    <w:basedOn w:val="1"/>
    <w:qFormat/>
    <w:uiPriority w:val="0"/>
    <w:pPr>
      <w:widowControl/>
      <w:spacing w:line="360" w:lineRule="auto"/>
      <w:ind w:firstLine="200" w:firstLineChars="200"/>
      <w:jc w:val="left"/>
    </w:pPr>
    <w:rPr>
      <w:rFonts w:ascii="宋体" w:hAnsi="宋体" w:eastAsia="仿宋_GB2312" w:cs="宋体"/>
      <w:kern w:val="0"/>
      <w:sz w:val="24"/>
      <w:szCs w:val="32"/>
    </w:rPr>
  </w:style>
  <w:style w:type="paragraph" w:customStyle="1" w:styleId="18">
    <w:name w:val="Char2"/>
    <w:basedOn w:val="1"/>
    <w:qFormat/>
    <w:uiPriority w:val="0"/>
    <w:pPr>
      <w:widowControl/>
      <w:spacing w:line="360" w:lineRule="auto"/>
      <w:ind w:firstLine="200" w:firstLineChars="200"/>
      <w:jc w:val="left"/>
    </w:pPr>
    <w:rPr>
      <w:rFonts w:ascii="宋体" w:hAnsi="宋体" w:eastAsia="仿宋_GB2312" w:cs="宋体"/>
      <w:kern w:val="0"/>
      <w:sz w:val="24"/>
      <w:szCs w:val="32"/>
    </w:rPr>
  </w:style>
  <w:style w:type="paragraph" w:customStyle="1" w:styleId="19">
    <w:name w:val="列出段落1"/>
    <w:basedOn w:val="1"/>
    <w:qFormat/>
    <w:uiPriority w:val="0"/>
    <w:pPr>
      <w:ind w:firstLine="420" w:firstLineChars="200"/>
    </w:pPr>
    <w:rPr>
      <w:rFonts w:ascii="Calibri" w:hAnsi="Calibri"/>
      <w:szCs w:val="22"/>
    </w:rPr>
  </w:style>
  <w:style w:type="character" w:customStyle="1" w:styleId="20">
    <w:name w:val="页脚 Char"/>
    <w:basedOn w:val="11"/>
    <w:link w:val="7"/>
    <w:qFormat/>
    <w:uiPriority w:val="99"/>
    <w:rPr>
      <w:rFonts w:eastAsia="宋体"/>
      <w:kern w:val="2"/>
      <w:sz w:val="18"/>
      <w:szCs w:val="18"/>
    </w:rPr>
  </w:style>
  <w:style w:type="paragraph" w:customStyle="1" w:styleId="21">
    <w:name w:val="列出段落2"/>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bbs.hi220.com</Company>
  <Pages>9</Pages>
  <Words>595</Words>
  <Characters>3395</Characters>
  <Lines>28</Lines>
  <Paragraphs>7</Paragraphs>
  <ScaleCrop>false</ScaleCrop>
  <LinksUpToDate>false</LinksUpToDate>
  <CharactersWithSpaces>3983</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2015-12-10T07:26:00Z</dcterms:created>
  <dc:creator>admin</dc:creator>
  <cp:lastModifiedBy>lenovo</cp:lastModifiedBy>
  <cp:lastPrinted>2015-01-06T08:39:00Z</cp:lastPrinted>
  <dcterms:modified xsi:type="dcterms:W3CDTF">2016-12-20T08:25:27Z</dcterms:modified>
  <dc:title>塘沽区统计局统计巡查自查报告</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